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17 333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Вафина Разина Фирдусовна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222 881,06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Вафина Разина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222 881,06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Chevroler Lacetti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98 556,5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Chevroler Lacetti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98 556,5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Гайнуллина Резеда Ризаевна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Тутаевского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прошлых лет однокомнатная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Гайфутдинова Эльмира Альбиртовна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253 878,1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Гайфутдинова Эльмира Альбиртовна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253 878,1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162 406,92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162 406,92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Галимова Рамина Ривхатовна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Галимова Рамина Ривхатовна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Лада-Гранта 219010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363 179,76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Лада-Гранта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363 179,76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SPORT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SPORT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Гимранова Алсу Салимулловна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Кзыл-Тауского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219210LADAKALINA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419 929,65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Накопления за предыдущие года Жилой дом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Гимранова Алсу Салимулловна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Кзыл-Тауского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219210LADAKALINA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419 929,65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Накопления за предыдущие года Жилой дом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408 241,63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311 847,72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311 847,72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Залялутдинова Аминя Олеговна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 -1/2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350 986,46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Залялутдинова Аминя Олеговна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долевая-1/217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8 967 314,63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350 986,46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Залялутдинова Аминя Олеговна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совместная с Залялутдиновым И.А.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350 986,46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Залялутдинова Аминя Олеговна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совместная с Залялутдиновым И.А.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350 986,46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совместная с залялутдиновой А.О.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339 547,71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 -1/2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339 547,71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совместная с Залялутдиновой А.О.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339 547,71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 1/217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8 967 314,63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339 547,71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488 601,58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- 210930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488 601,58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2 500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2 500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Гульфия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Бакрчинского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305 985,04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330364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178 014,7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Картовенко Венера Дамировна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2 032,22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233 398,49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Картовенко Венера Дамировна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233 398,49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Картовенко Венера Дамировна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19 811 995,26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233 398,49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2 032,22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111830,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167 878,84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111830,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167 878,84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2 032,22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2 032,22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Латыпова Гульназ Идрисовна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4 091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237 968,88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Латыпова Гульназ Идрисовна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237 968,88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321 871,95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321 871,95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321 871,95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321 871,95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Мингалиева Римма Фирдусовна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Ишеевского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297 781,38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Мингалиева Римма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Ишеевского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297 781,38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Мингалиева Римма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Ишеевского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297 781,38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Мингалиева Римма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Ишеевского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297 781,38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308 749,62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308 749,62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308 749,62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308 749,62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10 764 003,81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308 749,62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336 024,11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61 639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61 639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391 622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391 622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189 600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"Приора"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470 603,46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470 603,46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Назмиева Гульнара Исфатовна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специалист 1 категории Каратунского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MATIZ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154 184,34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Назмиева Гульнара Исфатовна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специалист 1 категории Каратунского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MATIZ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154 184,34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бортовой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879 518,11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VOLRSWAGEN TIGUAN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879 518,11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482 188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482 188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Насртдинова Гелюся Мансуровна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Каратунского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долевая1\307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15 860 032,39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318 309,08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Насртдинова Гелюся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Каратунского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долевая1\307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15 860 032,39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318 309,08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497 331,99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497 331,99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 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Халима Касыймовна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Большеболгоярского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315 804,3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Халима Касыймовна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Большеболгоярского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4 207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315 804,3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Трактор ЛТЗ-60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4 207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4 207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Трактор ЛТЗ-60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Трактор ЛТЗ-60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Трактор ЛТЗ-60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414 884,01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Гульшат Рафиловна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комитетаЧеремшанского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484 573,02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ДТ -75 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SM (Santa FE classic)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278 284,73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LADA,217130, LADA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16 328 001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15 756 091,5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494 554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494 554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Сабитова Алина Зуфаровна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Булым-Булыхчинского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долевая, доля в праве 1/320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317 210,64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Сабитова Алина Зуфаровна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Булым-Булыхчинского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 долевая, доля в праве 1/320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1 563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317 210,64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498 261,43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498 261,43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22 310 000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Сафина Фаузия Халиулловна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Верхнеиндырчинского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303 794,26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Сафина Фаузия Халиулловна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Верхнеиндырчинского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303 794,26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110 902,29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110 902,29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110 902,29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475 105,13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475 105,13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Сибгатуллина Ризидя Миннулловна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361 099,02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Сибгатуллина Ризидя Миннулловна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361 099,02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7 800 013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ДЗ-42 ДТ-75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2 400,03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2 526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2 526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Сусарина Ольга Николаевна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1 981 195,26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248 192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Сусарина Ольга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248 192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Сусарина Ольга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 исполнительного комитета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248 192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128 007,91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128 007,91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1 981 195,26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128 007,91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15 093 094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201 885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201 885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Асия Ибрагимовна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Большекокузского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257 623,43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Асия Ибрагимовна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руководителя исполнительного комитета Большекокузского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257 623,43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256 996,79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256 996,79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256 996,79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256 996,79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543 665,01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