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C5" w:rsidRDefault="00212FC5" w:rsidP="00242B24">
      <w:pPr>
        <w:pStyle w:val="ConsPlusTitle"/>
        <w:widowControl/>
        <w:jc w:val="center"/>
        <w:rPr>
          <w:color w:val="000000"/>
        </w:rPr>
      </w:pP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ТЕРРИТОРИАЛЬНАЯ  ИЗБИРАТЕЛЬНАЯ КОМИССИЯ</w:t>
      </w: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АПАСТОВСКОГО РАЙОНА РЕСПУБЛИКИ ТАТАРСТАН</w:t>
      </w:r>
      <w:r w:rsidR="00365799">
        <w:rPr>
          <w:color w:val="000000"/>
        </w:rPr>
        <w:t xml:space="preserve"> (ОКРУЖНАЯ ИЗБИРАТЕЛЬНАЯ КОМИССИЯ АПАСТОВСКОГО ОДНОМАНДАТНОГО ИЗБИРАТЕЛЬНОГО ОКРУГА №45)</w:t>
      </w: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</w:p>
    <w:tbl>
      <w:tblPr>
        <w:tblW w:w="0" w:type="auto"/>
        <w:tblInd w:w="462" w:type="dxa"/>
        <w:tblLook w:val="01E0" w:firstRow="1" w:lastRow="1" w:firstColumn="1" w:lastColumn="1" w:noHBand="0" w:noVBand="0"/>
      </w:tblPr>
      <w:tblGrid>
        <w:gridCol w:w="3490"/>
        <w:gridCol w:w="5619"/>
      </w:tblGrid>
      <w:tr w:rsidR="00E7218A" w:rsidTr="00A65933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242B24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422350,РТ,Апастовский район,</w:t>
            </w:r>
          </w:p>
          <w:p w:rsidR="00E7218A" w:rsidRDefault="00E7218A" w:rsidP="00242B24">
            <w:pPr>
              <w:rPr>
                <w:i/>
                <w:color w:val="000000"/>
                <w:szCs w:val="24"/>
              </w:rPr>
            </w:pPr>
            <w:r>
              <w:rPr>
                <w:color w:val="00000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242B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                                              Телефон   8-84376 22-5-81</w:t>
            </w:r>
          </w:p>
          <w:p w:rsidR="00E7218A" w:rsidRDefault="00E7218A" w:rsidP="00242B24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apas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tik</w:t>
            </w:r>
            <w:r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tatar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 xml:space="preserve">                           Факс         8-84376 21-6-50</w:t>
            </w:r>
          </w:p>
        </w:tc>
      </w:tr>
    </w:tbl>
    <w:p w:rsidR="00E7218A" w:rsidRDefault="00E7218A" w:rsidP="00242B24">
      <w:pPr>
        <w:jc w:val="center"/>
        <w:rPr>
          <w:b/>
          <w:color w:val="000000"/>
          <w:sz w:val="12"/>
          <w:szCs w:val="28"/>
        </w:rPr>
      </w:pPr>
    </w:p>
    <w:p w:rsidR="009A305E" w:rsidRPr="005446D7" w:rsidRDefault="009A305E" w:rsidP="00242B24">
      <w:pPr>
        <w:widowControl w:val="0"/>
        <w:jc w:val="center"/>
        <w:rPr>
          <w:b/>
          <w:spacing w:val="60"/>
          <w:sz w:val="25"/>
          <w:szCs w:val="25"/>
        </w:rPr>
      </w:pPr>
      <w:r w:rsidRPr="005446D7">
        <w:rPr>
          <w:b/>
          <w:spacing w:val="60"/>
          <w:sz w:val="25"/>
          <w:szCs w:val="25"/>
        </w:rPr>
        <w:t>РЕШЕНИЕ</w:t>
      </w:r>
    </w:p>
    <w:p w:rsidR="009A305E" w:rsidRPr="005446D7" w:rsidRDefault="009A305E" w:rsidP="00242B24">
      <w:pPr>
        <w:widowControl w:val="0"/>
        <w:jc w:val="center"/>
        <w:rPr>
          <w:sz w:val="25"/>
          <w:szCs w:val="25"/>
        </w:rPr>
      </w:pPr>
    </w:p>
    <w:tbl>
      <w:tblPr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9A305E" w:rsidRPr="005446D7" w:rsidTr="00365799">
        <w:tc>
          <w:tcPr>
            <w:tcW w:w="3391" w:type="dxa"/>
            <w:hideMark/>
          </w:tcPr>
          <w:p w:rsidR="009A305E" w:rsidRPr="005446D7" w:rsidRDefault="00242B24" w:rsidP="00242B24">
            <w:pPr>
              <w:widowControl w:val="0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17</w:t>
            </w:r>
            <w:r w:rsidR="00EB1FBC">
              <w:rPr>
                <w:sz w:val="25"/>
                <w:szCs w:val="25"/>
              </w:rPr>
              <w:t xml:space="preserve"> июня</w:t>
            </w:r>
            <w:r w:rsidR="005446D7" w:rsidRPr="005446D7">
              <w:rPr>
                <w:sz w:val="25"/>
                <w:szCs w:val="25"/>
              </w:rPr>
              <w:t xml:space="preserve"> </w:t>
            </w:r>
            <w:r w:rsidR="00AA47EB">
              <w:rPr>
                <w:sz w:val="25"/>
                <w:szCs w:val="25"/>
              </w:rPr>
              <w:t xml:space="preserve"> 2019</w:t>
            </w:r>
            <w:r w:rsidR="001924EF" w:rsidRPr="005446D7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3107" w:type="dxa"/>
          </w:tcPr>
          <w:p w:rsidR="009A305E" w:rsidRPr="005446D7" w:rsidRDefault="009A305E" w:rsidP="00242B24">
            <w:pPr>
              <w:widowControl w:val="0"/>
              <w:jc w:val="center"/>
              <w:rPr>
                <w:sz w:val="25"/>
                <w:szCs w:val="25"/>
              </w:rPr>
            </w:pPr>
          </w:p>
        </w:tc>
        <w:tc>
          <w:tcPr>
            <w:tcW w:w="3107" w:type="dxa"/>
            <w:hideMark/>
          </w:tcPr>
          <w:p w:rsidR="009A305E" w:rsidRPr="005446D7" w:rsidRDefault="009A305E" w:rsidP="00242B24">
            <w:pPr>
              <w:widowControl w:val="0"/>
              <w:jc w:val="center"/>
              <w:rPr>
                <w:sz w:val="25"/>
                <w:szCs w:val="25"/>
              </w:rPr>
            </w:pPr>
            <w:r w:rsidRPr="005446D7">
              <w:rPr>
                <w:sz w:val="25"/>
                <w:szCs w:val="25"/>
              </w:rPr>
              <w:t xml:space="preserve">№ </w:t>
            </w:r>
            <w:r w:rsidR="00242B24">
              <w:rPr>
                <w:sz w:val="25"/>
                <w:szCs w:val="25"/>
              </w:rPr>
              <w:t>9</w:t>
            </w:r>
            <w:r w:rsidR="00EB1FBC">
              <w:rPr>
                <w:sz w:val="25"/>
                <w:szCs w:val="25"/>
              </w:rPr>
              <w:t xml:space="preserve">/ОИК                                                                                                                   </w:t>
            </w:r>
          </w:p>
        </w:tc>
      </w:tr>
    </w:tbl>
    <w:p w:rsidR="00365799" w:rsidRDefault="00365799" w:rsidP="00242B24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bCs/>
          <w:color w:val="000000"/>
          <w:sz w:val="28"/>
          <w:szCs w:val="28"/>
        </w:rPr>
      </w:pPr>
    </w:p>
    <w:p w:rsidR="00242B24" w:rsidRPr="00242B24" w:rsidRDefault="00242B24" w:rsidP="00242B24">
      <w:pPr>
        <w:jc w:val="center"/>
        <w:rPr>
          <w:b/>
          <w:sz w:val="24"/>
          <w:szCs w:val="24"/>
        </w:rPr>
      </w:pPr>
      <w:r w:rsidRPr="00242B24">
        <w:rPr>
          <w:b/>
          <w:sz w:val="24"/>
          <w:szCs w:val="24"/>
        </w:rPr>
        <w:t xml:space="preserve">О Контрольно-ревизионной службе </w:t>
      </w:r>
    </w:p>
    <w:p w:rsidR="00365799" w:rsidRPr="00242B24" w:rsidRDefault="00242B24" w:rsidP="00242B24">
      <w:pPr>
        <w:ind w:firstLine="709"/>
        <w:jc w:val="both"/>
        <w:rPr>
          <w:b/>
          <w:sz w:val="24"/>
          <w:szCs w:val="24"/>
        </w:rPr>
      </w:pPr>
      <w:proofErr w:type="gramStart"/>
      <w:r w:rsidRPr="00242B24">
        <w:rPr>
          <w:sz w:val="24"/>
          <w:szCs w:val="24"/>
        </w:rPr>
        <w:t>В соответствии со статьей 60 Федерального закона «Об основных гарантиях избирательных прав и права на участие в референдуме граждан Российской Федерации», статьей 72 Избирательного кодекса Республики Татарстан, постановления Центральной избирательной комиссии Республики Татарстан от 7 июня 2019 года №59/419 «О возложении на территориальные избирательные комиссии, действующие на территории Республики Татарстан, полномочий окружных избирательных комиссий по выборам депутатов Государственного Совета</w:t>
      </w:r>
      <w:proofErr w:type="gramEnd"/>
      <w:r w:rsidRPr="00242B24">
        <w:rPr>
          <w:sz w:val="24"/>
          <w:szCs w:val="24"/>
        </w:rPr>
        <w:t xml:space="preserve"> Республики Татарстан шестого созыва»</w:t>
      </w:r>
      <w:r w:rsidR="00365799" w:rsidRPr="00242B24">
        <w:rPr>
          <w:sz w:val="24"/>
          <w:szCs w:val="24"/>
        </w:rPr>
        <w:t xml:space="preserve">, территориальная избирательная комиссия Апастовского района Республики Татарстан </w:t>
      </w:r>
      <w:r w:rsidR="00365799" w:rsidRPr="00242B24">
        <w:rPr>
          <w:bCs/>
          <w:color w:val="000000"/>
          <w:sz w:val="24"/>
          <w:szCs w:val="24"/>
        </w:rPr>
        <w:t xml:space="preserve">(окружная избирательная комиссия Апастовского одномандатного избирательного округа № 45) </w:t>
      </w:r>
      <w:r w:rsidR="00365799" w:rsidRPr="00242B24">
        <w:rPr>
          <w:b/>
          <w:sz w:val="24"/>
          <w:szCs w:val="24"/>
        </w:rPr>
        <w:t>решила:</w:t>
      </w:r>
    </w:p>
    <w:p w:rsidR="00242B24" w:rsidRPr="00242B24" w:rsidRDefault="00242B24" w:rsidP="00242B24">
      <w:pPr>
        <w:pStyle w:val="a6"/>
        <w:ind w:firstLine="709"/>
        <w:contextualSpacing/>
        <w:rPr>
          <w:sz w:val="24"/>
          <w:szCs w:val="24"/>
        </w:rPr>
      </w:pPr>
      <w:r w:rsidRPr="00242B24">
        <w:rPr>
          <w:sz w:val="24"/>
          <w:szCs w:val="24"/>
        </w:rPr>
        <w:t xml:space="preserve">1.Создать при окружной избирательной комиссии </w:t>
      </w:r>
      <w:r w:rsidRPr="00242B24">
        <w:rPr>
          <w:bCs/>
          <w:color w:val="000000"/>
          <w:sz w:val="24"/>
          <w:szCs w:val="24"/>
        </w:rPr>
        <w:t>комиссия Апастовского одномандатного избирательного округа № 45</w:t>
      </w:r>
      <w:r w:rsidRPr="00242B24">
        <w:rPr>
          <w:sz w:val="24"/>
          <w:szCs w:val="24"/>
        </w:rPr>
        <w:t xml:space="preserve"> Контрольно-ревизионную службу в составе согласно приложению № 1 к настоящему решению.</w:t>
      </w:r>
    </w:p>
    <w:p w:rsidR="00242B24" w:rsidRPr="00242B24" w:rsidRDefault="00242B24" w:rsidP="00242B24">
      <w:pPr>
        <w:pStyle w:val="a6"/>
        <w:ind w:firstLine="708"/>
        <w:contextualSpacing/>
        <w:rPr>
          <w:sz w:val="24"/>
          <w:szCs w:val="24"/>
        </w:rPr>
      </w:pPr>
      <w:r w:rsidRPr="00242B24">
        <w:rPr>
          <w:sz w:val="24"/>
          <w:szCs w:val="24"/>
        </w:rPr>
        <w:t xml:space="preserve">2.Назначить руководителем Контрольно-ревизионной службы – Шакирову Э.Ф., заместителя председателя окружной избирательной комиссии  </w:t>
      </w:r>
    </w:p>
    <w:p w:rsidR="00242B24" w:rsidRPr="00242B24" w:rsidRDefault="00242B24" w:rsidP="00242B24">
      <w:pPr>
        <w:pStyle w:val="a6"/>
        <w:ind w:firstLine="708"/>
        <w:contextualSpacing/>
        <w:rPr>
          <w:sz w:val="24"/>
          <w:szCs w:val="24"/>
        </w:rPr>
      </w:pPr>
      <w:r w:rsidRPr="00242B24">
        <w:rPr>
          <w:sz w:val="24"/>
          <w:szCs w:val="24"/>
        </w:rPr>
        <w:t>3.Назначить заместителем руководителя Контрольно-ревизионной службы – Ахманову Г.Н., члена окружной избирательной комиссии.</w:t>
      </w:r>
    </w:p>
    <w:p w:rsidR="00242B24" w:rsidRPr="00242B24" w:rsidRDefault="00242B24" w:rsidP="00242B24">
      <w:pPr>
        <w:ind w:firstLine="709"/>
        <w:contextualSpacing/>
        <w:jc w:val="both"/>
        <w:rPr>
          <w:sz w:val="24"/>
          <w:szCs w:val="24"/>
        </w:rPr>
      </w:pPr>
      <w:r w:rsidRPr="00242B24">
        <w:rPr>
          <w:sz w:val="24"/>
          <w:szCs w:val="24"/>
        </w:rPr>
        <w:t>4.Утвердить Положение о Контрольно-ревизионной службе при окружной избирательной комиссии Апастовского одномандатного избирательного округа № 45 (приложение № 2).</w:t>
      </w:r>
    </w:p>
    <w:p w:rsidR="00242B24" w:rsidRPr="00242B24" w:rsidRDefault="00242B24" w:rsidP="00242B24">
      <w:pPr>
        <w:contextualSpacing/>
        <w:jc w:val="both"/>
        <w:rPr>
          <w:bCs/>
          <w:i/>
          <w:sz w:val="24"/>
          <w:szCs w:val="24"/>
          <w:vertAlign w:val="superscript"/>
        </w:rPr>
      </w:pPr>
      <w:r w:rsidRPr="00242B24">
        <w:rPr>
          <w:sz w:val="24"/>
          <w:szCs w:val="24"/>
        </w:rPr>
        <w:t xml:space="preserve">          5.Возложить </w:t>
      </w:r>
      <w:proofErr w:type="gramStart"/>
      <w:r w:rsidRPr="00242B24">
        <w:rPr>
          <w:sz w:val="24"/>
          <w:szCs w:val="24"/>
        </w:rPr>
        <w:t>контроль за</w:t>
      </w:r>
      <w:proofErr w:type="gramEnd"/>
      <w:r w:rsidRPr="00242B24">
        <w:rPr>
          <w:sz w:val="24"/>
          <w:szCs w:val="24"/>
        </w:rPr>
        <w:t xml:space="preserve"> выполнением настоящего решения на заместителя председателя окружной избирательной комиссии Шакирову Э.Ф. </w:t>
      </w:r>
    </w:p>
    <w:p w:rsidR="005446D7" w:rsidRPr="00242B24" w:rsidRDefault="005446D7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 xml:space="preserve">Председатель </w:t>
      </w:r>
      <w:proofErr w:type="gramStart"/>
      <w:r w:rsidRPr="00242B24">
        <w:rPr>
          <w:sz w:val="24"/>
          <w:szCs w:val="24"/>
        </w:rPr>
        <w:t>территориальной</w:t>
      </w:r>
      <w:proofErr w:type="gramEnd"/>
      <w:r w:rsidRPr="00242B24">
        <w:rPr>
          <w:sz w:val="24"/>
          <w:szCs w:val="24"/>
        </w:rPr>
        <w:t xml:space="preserve"> 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избирательной комиссии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Апастовского района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Республики</w:t>
      </w:r>
      <w:r w:rsidRPr="00242B24">
        <w:rPr>
          <w:sz w:val="24"/>
          <w:szCs w:val="24"/>
        </w:rPr>
        <w:tab/>
        <w:t xml:space="preserve"> Татарстан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proofErr w:type="gramStart"/>
      <w:r w:rsidRPr="00242B24">
        <w:rPr>
          <w:bCs/>
          <w:color w:val="000000"/>
          <w:sz w:val="24"/>
          <w:szCs w:val="24"/>
        </w:rPr>
        <w:t>(окружной избирательной комиссии</w:t>
      </w:r>
      <w:proofErr w:type="gramEnd"/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 xml:space="preserve">Апастовского одномандатного 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 xml:space="preserve">избирательного округа № 45)                     </w:t>
      </w:r>
      <w:r w:rsidRPr="00242B24">
        <w:rPr>
          <w:sz w:val="24"/>
          <w:szCs w:val="24"/>
        </w:rPr>
        <w:tab/>
      </w:r>
      <w:r w:rsidRPr="00242B24">
        <w:rPr>
          <w:sz w:val="24"/>
          <w:szCs w:val="24"/>
        </w:rPr>
        <w:tab/>
      </w:r>
      <w:r w:rsidRPr="00242B24">
        <w:rPr>
          <w:sz w:val="24"/>
          <w:szCs w:val="24"/>
        </w:rPr>
        <w:tab/>
        <w:t>Г.Г. Садыкова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 xml:space="preserve">Секретарь </w:t>
      </w:r>
      <w:proofErr w:type="gramStart"/>
      <w:r w:rsidRPr="00242B24">
        <w:rPr>
          <w:sz w:val="24"/>
          <w:szCs w:val="24"/>
        </w:rPr>
        <w:t>территориальной</w:t>
      </w:r>
      <w:proofErr w:type="gramEnd"/>
      <w:r w:rsidRPr="00242B24">
        <w:rPr>
          <w:sz w:val="24"/>
          <w:szCs w:val="24"/>
        </w:rPr>
        <w:t xml:space="preserve"> 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избирательной комиссии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Апастовского района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Республики</w:t>
      </w:r>
      <w:r w:rsidRPr="00242B24">
        <w:rPr>
          <w:sz w:val="24"/>
          <w:szCs w:val="24"/>
        </w:rPr>
        <w:tab/>
        <w:t xml:space="preserve"> Татарстан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proofErr w:type="gramStart"/>
      <w:r w:rsidRPr="00242B24">
        <w:rPr>
          <w:bCs/>
          <w:color w:val="000000"/>
          <w:sz w:val="24"/>
          <w:szCs w:val="24"/>
        </w:rPr>
        <w:t>(окружной избирательной комиссии</w:t>
      </w:r>
      <w:proofErr w:type="gramEnd"/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 xml:space="preserve">Апастовского одномандатного </w:t>
      </w:r>
    </w:p>
    <w:p w:rsid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>избирательного округа № 45)</w:t>
      </w:r>
      <w:r w:rsidRPr="00242B24">
        <w:rPr>
          <w:sz w:val="24"/>
          <w:szCs w:val="24"/>
        </w:rPr>
        <w:tab/>
        <w:t xml:space="preserve">                                      </w:t>
      </w:r>
      <w:r w:rsidR="00242B24">
        <w:rPr>
          <w:sz w:val="24"/>
          <w:szCs w:val="24"/>
        </w:rPr>
        <w:t xml:space="preserve">               </w:t>
      </w:r>
      <w:r w:rsidRPr="00242B24">
        <w:rPr>
          <w:sz w:val="24"/>
          <w:szCs w:val="24"/>
        </w:rPr>
        <w:t xml:space="preserve">   Н.Х. </w:t>
      </w:r>
      <w:proofErr w:type="spellStart"/>
      <w:r w:rsidRPr="00242B24">
        <w:rPr>
          <w:sz w:val="24"/>
          <w:szCs w:val="24"/>
        </w:rPr>
        <w:t>Гильфанова</w:t>
      </w:r>
      <w:proofErr w:type="spellEnd"/>
      <w:r w:rsidRPr="00242B24">
        <w:rPr>
          <w:sz w:val="24"/>
          <w:szCs w:val="24"/>
        </w:rPr>
        <w:tab/>
      </w:r>
    </w:p>
    <w:p w:rsidR="00242B24" w:rsidRDefault="00242B24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242B24" w:rsidRPr="00AC5D8D" w:rsidRDefault="00242B24" w:rsidP="00242B24">
      <w:pPr>
        <w:pStyle w:val="af8"/>
        <w:keepNext w:val="0"/>
        <w:spacing w:before="0"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AC5D8D">
        <w:rPr>
          <w:rFonts w:ascii="Times New Roman" w:hAnsi="Times New Roman"/>
          <w:sz w:val="24"/>
          <w:szCs w:val="24"/>
        </w:rPr>
        <w:t>Приложение № 1</w:t>
      </w:r>
    </w:p>
    <w:p w:rsidR="00242B24" w:rsidRPr="00AC5D8D" w:rsidRDefault="00242B24" w:rsidP="00242B24">
      <w:pPr>
        <w:pStyle w:val="af8"/>
        <w:keepNext w:val="0"/>
        <w:spacing w:before="0"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AC5D8D">
        <w:rPr>
          <w:rFonts w:ascii="Times New Roman" w:hAnsi="Times New Roman"/>
          <w:sz w:val="24"/>
          <w:szCs w:val="24"/>
        </w:rPr>
        <w:t>к решению окружной избирательной комиссии</w:t>
      </w:r>
    </w:p>
    <w:p w:rsidR="00242B24" w:rsidRPr="00AC5D8D" w:rsidRDefault="00242B24" w:rsidP="00242B24">
      <w:pPr>
        <w:pStyle w:val="af8"/>
        <w:keepNext w:val="0"/>
        <w:spacing w:before="0" w:after="0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AC5D8D">
        <w:rPr>
          <w:rFonts w:ascii="Times New Roman" w:hAnsi="Times New Roman"/>
          <w:bCs/>
          <w:sz w:val="24"/>
          <w:szCs w:val="24"/>
        </w:rPr>
        <w:t xml:space="preserve">от  </w:t>
      </w:r>
      <w:r>
        <w:rPr>
          <w:rFonts w:ascii="Times New Roman" w:hAnsi="Times New Roman"/>
          <w:bCs/>
          <w:sz w:val="24"/>
          <w:szCs w:val="24"/>
        </w:rPr>
        <w:t>17 июня 2019</w:t>
      </w:r>
      <w:r w:rsidRPr="00AC5D8D">
        <w:rPr>
          <w:rFonts w:ascii="Times New Roman" w:hAnsi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sz w:val="24"/>
          <w:szCs w:val="24"/>
        </w:rPr>
        <w:t>9/ОИК</w:t>
      </w:r>
    </w:p>
    <w:p w:rsidR="00242B24" w:rsidRDefault="00242B24" w:rsidP="00242B24">
      <w:pPr>
        <w:jc w:val="center"/>
        <w:rPr>
          <w:bCs/>
          <w:sz w:val="28"/>
          <w:szCs w:val="28"/>
        </w:rPr>
      </w:pP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  <w:lang w:val="en-US"/>
        </w:rPr>
        <w:t>C</w:t>
      </w:r>
      <w:proofErr w:type="spellStart"/>
      <w:r w:rsidRPr="002D6619">
        <w:rPr>
          <w:b/>
          <w:sz w:val="28"/>
          <w:szCs w:val="28"/>
        </w:rPr>
        <w:t>остав</w:t>
      </w:r>
      <w:proofErr w:type="spellEnd"/>
    </w:p>
    <w:p w:rsidR="00242B24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 xml:space="preserve">Контрольно-ревизионной службы при окружной избирательной комиссии </w:t>
      </w:r>
      <w:r>
        <w:rPr>
          <w:b/>
          <w:sz w:val="28"/>
          <w:szCs w:val="28"/>
        </w:rPr>
        <w:t xml:space="preserve">Апастовского </w:t>
      </w:r>
      <w:r w:rsidRPr="002D6619">
        <w:rPr>
          <w:b/>
          <w:sz w:val="28"/>
          <w:szCs w:val="28"/>
        </w:rPr>
        <w:t xml:space="preserve">одномандатного избирательного округа 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45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</w:p>
    <w:tbl>
      <w:tblPr>
        <w:tblW w:w="936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33"/>
        <w:gridCol w:w="5955"/>
      </w:tblGrid>
      <w:tr w:rsidR="00242B24" w:rsidRPr="002D6619" w:rsidTr="00D27F61">
        <w:tc>
          <w:tcPr>
            <w:tcW w:w="9368" w:type="dxa"/>
            <w:gridSpan w:val="3"/>
            <w:shd w:val="clear" w:color="auto" w:fill="auto"/>
          </w:tcPr>
          <w:p w:rsidR="00242B24" w:rsidRPr="002D6619" w:rsidRDefault="00242B24" w:rsidP="00242B2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619">
              <w:rPr>
                <w:b/>
                <w:bCs/>
                <w:i/>
                <w:iCs/>
                <w:sz w:val="28"/>
                <w:szCs w:val="28"/>
              </w:rPr>
              <w:t>Руководитель КРС:</w:t>
            </w:r>
          </w:p>
          <w:p w:rsidR="00242B24" w:rsidRPr="002D6619" w:rsidRDefault="00242B24" w:rsidP="00242B24">
            <w:pPr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242B24" w:rsidRPr="002D6619" w:rsidTr="00D27F61">
        <w:tc>
          <w:tcPr>
            <w:tcW w:w="3080" w:type="dxa"/>
            <w:shd w:val="clear" w:color="auto" w:fill="auto"/>
          </w:tcPr>
          <w:p w:rsidR="00242B24" w:rsidRPr="002D6619" w:rsidRDefault="00242B24" w:rsidP="00242B24">
            <w:pPr>
              <w:pStyle w:val="af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Шакирова Э.Ф.</w:t>
            </w:r>
          </w:p>
        </w:tc>
        <w:tc>
          <w:tcPr>
            <w:tcW w:w="333" w:type="dxa"/>
            <w:shd w:val="clear" w:color="auto" w:fill="auto"/>
          </w:tcPr>
          <w:p w:rsidR="00242B24" w:rsidRPr="002D6619" w:rsidRDefault="00242B24" w:rsidP="00242B24">
            <w:pPr>
              <w:pStyle w:val="af9"/>
              <w:jc w:val="center"/>
              <w:rPr>
                <w:rFonts w:cs="Times New Roman"/>
                <w:sz w:val="28"/>
                <w:szCs w:val="28"/>
              </w:rPr>
            </w:pPr>
            <w:r w:rsidRPr="002D6619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242B24" w:rsidRPr="002D6619" w:rsidRDefault="00242B24" w:rsidP="00242B24">
            <w:pPr>
              <w:jc w:val="both"/>
              <w:rPr>
                <w:sz w:val="28"/>
                <w:szCs w:val="28"/>
              </w:rPr>
            </w:pPr>
            <w:r w:rsidRPr="002D6619">
              <w:rPr>
                <w:bCs/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>окружной</w:t>
            </w:r>
            <w:r w:rsidRPr="002D6619">
              <w:rPr>
                <w:sz w:val="28"/>
                <w:szCs w:val="28"/>
              </w:rPr>
              <w:t xml:space="preserve"> избирательной комиссии </w:t>
            </w:r>
          </w:p>
          <w:p w:rsidR="00242B24" w:rsidRPr="002D6619" w:rsidRDefault="00242B24" w:rsidP="00242B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42B24" w:rsidRPr="002D6619" w:rsidTr="00D27F61">
        <w:tc>
          <w:tcPr>
            <w:tcW w:w="9368" w:type="dxa"/>
            <w:gridSpan w:val="3"/>
            <w:shd w:val="clear" w:color="auto" w:fill="auto"/>
          </w:tcPr>
          <w:p w:rsidR="00242B24" w:rsidRPr="002D6619" w:rsidRDefault="00242B24" w:rsidP="00242B2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619">
              <w:rPr>
                <w:b/>
                <w:bCs/>
                <w:i/>
                <w:iCs/>
                <w:sz w:val="28"/>
                <w:szCs w:val="28"/>
              </w:rPr>
              <w:t>Заместитель руководителя КРС:</w:t>
            </w:r>
          </w:p>
          <w:p w:rsidR="00242B24" w:rsidRPr="002D6619" w:rsidRDefault="00242B24" w:rsidP="00242B24">
            <w:pPr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242B24" w:rsidRPr="002D6619" w:rsidTr="00D27F61">
        <w:tc>
          <w:tcPr>
            <w:tcW w:w="3080" w:type="dxa"/>
            <w:shd w:val="clear" w:color="auto" w:fill="auto"/>
          </w:tcPr>
          <w:p w:rsidR="00242B24" w:rsidRPr="002D6619" w:rsidRDefault="00242B24" w:rsidP="00242B24">
            <w:pPr>
              <w:pStyle w:val="af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Ахманова Г.Т.</w:t>
            </w:r>
          </w:p>
        </w:tc>
        <w:tc>
          <w:tcPr>
            <w:tcW w:w="333" w:type="dxa"/>
            <w:shd w:val="clear" w:color="auto" w:fill="auto"/>
          </w:tcPr>
          <w:p w:rsidR="00242B24" w:rsidRPr="002D6619" w:rsidRDefault="00242B24" w:rsidP="00242B24">
            <w:pPr>
              <w:pStyle w:val="af9"/>
              <w:jc w:val="center"/>
              <w:rPr>
                <w:rFonts w:cs="Times New Roman"/>
                <w:sz w:val="28"/>
                <w:szCs w:val="28"/>
              </w:rPr>
            </w:pPr>
            <w:r w:rsidRPr="002D6619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242B24" w:rsidRPr="002D6619" w:rsidRDefault="00242B24" w:rsidP="00242B24">
            <w:pPr>
              <w:jc w:val="both"/>
              <w:rPr>
                <w:sz w:val="28"/>
                <w:szCs w:val="28"/>
              </w:rPr>
            </w:pPr>
            <w:r w:rsidRPr="002D6619">
              <w:rPr>
                <w:bCs/>
                <w:sz w:val="28"/>
                <w:szCs w:val="28"/>
              </w:rPr>
              <w:t xml:space="preserve">член </w:t>
            </w:r>
            <w:r>
              <w:rPr>
                <w:sz w:val="28"/>
                <w:szCs w:val="28"/>
              </w:rPr>
              <w:t>окружной</w:t>
            </w:r>
            <w:r w:rsidRPr="002D6619">
              <w:rPr>
                <w:sz w:val="28"/>
                <w:szCs w:val="28"/>
              </w:rPr>
              <w:t xml:space="preserve"> избирательной комиссии с правом решающего голоса</w:t>
            </w:r>
          </w:p>
        </w:tc>
      </w:tr>
      <w:tr w:rsidR="00242B24" w:rsidRPr="002D6619" w:rsidTr="00D27F61">
        <w:tc>
          <w:tcPr>
            <w:tcW w:w="9368" w:type="dxa"/>
            <w:gridSpan w:val="3"/>
            <w:shd w:val="clear" w:color="auto" w:fill="auto"/>
          </w:tcPr>
          <w:p w:rsidR="00242B24" w:rsidRDefault="00242B24" w:rsidP="00242B2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42B24" w:rsidRPr="002D6619" w:rsidRDefault="00242B24" w:rsidP="00242B2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619">
              <w:rPr>
                <w:b/>
                <w:bCs/>
                <w:i/>
                <w:iCs/>
                <w:sz w:val="28"/>
                <w:szCs w:val="28"/>
              </w:rPr>
              <w:t>Член КРС:</w:t>
            </w:r>
          </w:p>
          <w:p w:rsidR="00242B24" w:rsidRPr="002D6619" w:rsidRDefault="00242B24" w:rsidP="00242B24">
            <w:pPr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242B24" w:rsidRPr="002D6619" w:rsidTr="00D27F61">
        <w:tc>
          <w:tcPr>
            <w:tcW w:w="3080" w:type="dxa"/>
            <w:shd w:val="clear" w:color="auto" w:fill="auto"/>
          </w:tcPr>
          <w:p w:rsidR="00242B24" w:rsidRPr="002D6619" w:rsidRDefault="00242B24" w:rsidP="00153636">
            <w:pPr>
              <w:pStyle w:val="af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Ахмад</w:t>
            </w:r>
            <w:r w:rsidR="00153636">
              <w:rPr>
                <w:rFonts w:cs="Times New Roman"/>
                <w:sz w:val="28"/>
                <w:szCs w:val="28"/>
              </w:rPr>
              <w:t>уллин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33" w:type="dxa"/>
            <w:shd w:val="clear" w:color="auto" w:fill="auto"/>
          </w:tcPr>
          <w:p w:rsidR="00242B24" w:rsidRPr="002D6619" w:rsidRDefault="00242B24" w:rsidP="00242B24">
            <w:pPr>
              <w:pStyle w:val="af9"/>
              <w:jc w:val="center"/>
              <w:rPr>
                <w:rFonts w:cs="Times New Roman"/>
                <w:sz w:val="28"/>
                <w:szCs w:val="28"/>
              </w:rPr>
            </w:pPr>
            <w:r w:rsidRPr="002D6619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242B24" w:rsidRPr="002D6619" w:rsidRDefault="00242B24" w:rsidP="00242B24">
            <w:pPr>
              <w:jc w:val="both"/>
              <w:rPr>
                <w:bCs/>
                <w:sz w:val="28"/>
                <w:szCs w:val="28"/>
              </w:rPr>
            </w:pPr>
            <w:r w:rsidRPr="002D6619">
              <w:rPr>
                <w:bCs/>
                <w:sz w:val="28"/>
                <w:szCs w:val="28"/>
              </w:rPr>
              <w:t xml:space="preserve">член </w:t>
            </w:r>
            <w:r>
              <w:rPr>
                <w:sz w:val="28"/>
                <w:szCs w:val="28"/>
              </w:rPr>
              <w:t>окружной</w:t>
            </w:r>
            <w:r w:rsidRPr="002D6619">
              <w:rPr>
                <w:sz w:val="28"/>
                <w:szCs w:val="28"/>
              </w:rPr>
              <w:t xml:space="preserve"> избирательной комиссии с правом решающего голоса</w:t>
            </w:r>
          </w:p>
        </w:tc>
      </w:tr>
    </w:tbl>
    <w:p w:rsidR="00242B24" w:rsidRDefault="00242B24" w:rsidP="00242B24"/>
    <w:p w:rsidR="00242B24" w:rsidRDefault="00242B24" w:rsidP="00242B24">
      <w:pPr>
        <w:ind w:left="709"/>
        <w:jc w:val="both"/>
        <w:rPr>
          <w:sz w:val="28"/>
          <w:szCs w:val="28"/>
        </w:rPr>
        <w:sectPr w:rsidR="00242B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2B24" w:rsidRPr="00AC5D8D" w:rsidRDefault="00242B24" w:rsidP="00242B24">
      <w:pPr>
        <w:pStyle w:val="af8"/>
        <w:keepNext w:val="0"/>
        <w:spacing w:before="0"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AC5D8D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242B24" w:rsidRPr="00AC5D8D" w:rsidRDefault="00242B24" w:rsidP="00242B24">
      <w:pPr>
        <w:pStyle w:val="af8"/>
        <w:keepNext w:val="0"/>
        <w:spacing w:before="0"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AC5D8D">
        <w:rPr>
          <w:rFonts w:ascii="Times New Roman" w:hAnsi="Times New Roman"/>
          <w:sz w:val="24"/>
          <w:szCs w:val="24"/>
        </w:rPr>
        <w:t>к решению окружной избирательной комиссии</w:t>
      </w:r>
    </w:p>
    <w:p w:rsidR="00242B24" w:rsidRPr="00AC5D8D" w:rsidRDefault="00242B24" w:rsidP="00242B24">
      <w:pPr>
        <w:pStyle w:val="af8"/>
        <w:keepNext w:val="0"/>
        <w:spacing w:before="0" w:after="0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AC5D8D">
        <w:rPr>
          <w:rFonts w:ascii="Times New Roman" w:hAnsi="Times New Roman"/>
          <w:bCs/>
          <w:sz w:val="24"/>
          <w:szCs w:val="24"/>
        </w:rPr>
        <w:t xml:space="preserve">от  </w:t>
      </w:r>
      <w:r>
        <w:rPr>
          <w:rFonts w:ascii="Times New Roman" w:hAnsi="Times New Roman"/>
          <w:bCs/>
          <w:sz w:val="24"/>
          <w:szCs w:val="24"/>
        </w:rPr>
        <w:t>17 июня 2019</w:t>
      </w:r>
      <w:r w:rsidRPr="00AC5D8D">
        <w:rPr>
          <w:rFonts w:ascii="Times New Roman" w:hAnsi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sz w:val="24"/>
          <w:szCs w:val="24"/>
        </w:rPr>
        <w:t>9/ОИК</w:t>
      </w:r>
    </w:p>
    <w:p w:rsidR="00242B24" w:rsidRDefault="00242B24" w:rsidP="00242B24">
      <w:pPr>
        <w:jc w:val="center"/>
        <w:rPr>
          <w:bCs/>
        </w:rPr>
      </w:pP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 xml:space="preserve">Положение 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</w:p>
    <w:p w:rsidR="00242B24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 xml:space="preserve">о Контрольно-ревизионной службе при окружной избирательной комиссии </w:t>
      </w:r>
      <w:r>
        <w:rPr>
          <w:b/>
          <w:sz w:val="28"/>
          <w:szCs w:val="28"/>
        </w:rPr>
        <w:t xml:space="preserve">Апастовского </w:t>
      </w:r>
      <w:r w:rsidRPr="002D6619">
        <w:rPr>
          <w:b/>
          <w:sz w:val="28"/>
          <w:szCs w:val="28"/>
        </w:rPr>
        <w:t xml:space="preserve">одномандатного избирательного округа 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45</w:t>
      </w:r>
      <w:r w:rsidRPr="002D6619">
        <w:rPr>
          <w:b/>
          <w:sz w:val="28"/>
          <w:szCs w:val="28"/>
        </w:rPr>
        <w:t xml:space="preserve"> 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</w:p>
    <w:p w:rsidR="00242B24" w:rsidRPr="002D6619" w:rsidRDefault="00242B24" w:rsidP="00242B2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</w:rPr>
      </w:pPr>
      <w:r w:rsidRPr="002D6619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:rsidR="00242B24" w:rsidRDefault="00242B24" w:rsidP="00242B24">
      <w:pPr>
        <w:ind w:firstLine="709"/>
        <w:jc w:val="both"/>
        <w:rPr>
          <w:sz w:val="28"/>
          <w:szCs w:val="28"/>
        </w:rPr>
      </w:pP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1.1. </w:t>
      </w:r>
      <w:proofErr w:type="gramStart"/>
      <w:r w:rsidRPr="002D6619">
        <w:rPr>
          <w:sz w:val="28"/>
          <w:szCs w:val="28"/>
        </w:rPr>
        <w:t>Контрольно-ревизионная служба при окружной избирательной комиссии на выборах депутатов Государственн</w:t>
      </w:r>
      <w:r>
        <w:rPr>
          <w:sz w:val="28"/>
          <w:szCs w:val="28"/>
        </w:rPr>
        <w:t>ого</w:t>
      </w:r>
      <w:r w:rsidRPr="002D661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республики Татарстан шестого созыва</w:t>
      </w:r>
      <w:r w:rsidRPr="002D6619">
        <w:rPr>
          <w:sz w:val="28"/>
          <w:szCs w:val="28"/>
        </w:rPr>
        <w:t xml:space="preserve"> (далее – КРС) создается окружной избирательной комиссией (далее – Комиссия) на основании статьи 60 Федерального закона от 12 июня 2002 года № 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 статьи 72 Избирательного кодекса Республики Татарстан</w:t>
      </w:r>
      <w:r w:rsidRPr="002D6619">
        <w:rPr>
          <w:sz w:val="28"/>
          <w:szCs w:val="28"/>
        </w:rPr>
        <w:t>.</w:t>
      </w:r>
      <w:proofErr w:type="gramEnd"/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1.2. Положение о КРС утверждается Комиссией.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1.3. </w:t>
      </w:r>
      <w:proofErr w:type="gramStart"/>
      <w:r w:rsidRPr="002D6619">
        <w:rPr>
          <w:sz w:val="28"/>
          <w:szCs w:val="28"/>
        </w:rPr>
        <w:t xml:space="preserve">КРС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</w:t>
      </w:r>
      <w:r>
        <w:rPr>
          <w:sz w:val="28"/>
          <w:szCs w:val="28"/>
        </w:rPr>
        <w:t>К</w:t>
      </w:r>
      <w:r w:rsidRPr="002D6619">
        <w:rPr>
          <w:sz w:val="28"/>
          <w:szCs w:val="28"/>
        </w:rPr>
        <w:t>онституцией</w:t>
      </w:r>
      <w:r>
        <w:rPr>
          <w:sz w:val="28"/>
          <w:szCs w:val="28"/>
        </w:rPr>
        <w:t xml:space="preserve"> Республики Татарстан</w:t>
      </w:r>
      <w:r w:rsidRPr="002D6619">
        <w:rPr>
          <w:sz w:val="28"/>
          <w:szCs w:val="28"/>
        </w:rPr>
        <w:t xml:space="preserve">, законами Республики Татарстан, нормативными актами Центральной избирательной комиссии Российской Федерации, Центральной избирательной комиссии Республики Татарстан и настоящим положением о Контрольно-ревизионной службе при окружной избирательной комиссии на выборах депутатов </w:t>
      </w:r>
      <w:r>
        <w:rPr>
          <w:sz w:val="28"/>
          <w:szCs w:val="28"/>
        </w:rPr>
        <w:t>Государственного Совета Республики Татарстан шестого созыва</w:t>
      </w:r>
      <w:r w:rsidRPr="002D6619">
        <w:rPr>
          <w:sz w:val="28"/>
          <w:szCs w:val="28"/>
        </w:rPr>
        <w:t xml:space="preserve"> (далее – положение).</w:t>
      </w:r>
      <w:proofErr w:type="gramEnd"/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1.4. КРС осуществляет свою деятельность в соответствии с утвержденными Комиссией планами мероприятий, календарными планами, а также распоряжениями председателя Комиссии.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1.5. При официальной переписке КРС использует бланки Комиссии. Члену КРС выдается удостоверение по форме, установленной Комиссией.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>2. Порядок формирования КРС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2.1. Руководителем КРС является заместитель председателя Комиссии, заместителем руководителя КРС – член Комиссии с правом решающего голоса, назначаемый Комиссией.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2.2. </w:t>
      </w:r>
      <w:proofErr w:type="gramStart"/>
      <w:r w:rsidRPr="002D6619">
        <w:rPr>
          <w:sz w:val="28"/>
          <w:szCs w:val="28"/>
        </w:rPr>
        <w:t>В состав КРС входят другие члены Комиссии, специалисты территориальных органов федеральных государственных и иных органов, организаций и учреждений, включая Министерство внутренних дел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Федеральную службу безопасности Российской Федерации, Федеральную службу по финансовому мониторингу, Федеральную налоговую службу, Федеральную таможенную службу, Федеральную службу государственной регистрации, кадастра и</w:t>
      </w:r>
      <w:proofErr w:type="gramEnd"/>
      <w:r w:rsidRPr="002D6619">
        <w:rPr>
          <w:sz w:val="28"/>
          <w:szCs w:val="28"/>
        </w:rPr>
        <w:t xml:space="preserve"> картографии, Федеральную службу по надзору в сфере связи, информационных технологий и массовых коммуникаций,  Федеральное агентство по управлению государственным имуществом,  Федеральное казначейство, территориальное учреждение Центрального банка Российской Федерации в субъектах Российской Федерации, филиал публичного акционерного общества «Сбербанк России». Руководитель КРС, заместитель руководителя КРС назначаются Комиссией.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2.3. Члены КРС назначаются и освобождаются от занимаемой должности решением Комиссии, при этом члены КРС, являющиеся руководителями и специалистами государственных и иных органов, организаций и учреждений, – по представлению руководителей соответствующих органов, организаций и учреждений.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2.4. При проведении выборов депутатов </w:t>
      </w:r>
      <w:r>
        <w:rPr>
          <w:sz w:val="28"/>
          <w:szCs w:val="28"/>
        </w:rPr>
        <w:t>Государственного Совета Республики Татарстан шестого созыва</w:t>
      </w:r>
      <w:r w:rsidRPr="002D6619">
        <w:rPr>
          <w:sz w:val="28"/>
          <w:szCs w:val="28"/>
        </w:rPr>
        <w:t xml:space="preserve"> (далее – выборы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) откомандирование специалистов из государственных и иных органов, организаций и учреждений осуществляется по запросу Комиссии не позднее чем через один месяц со дня официального опубликования (публикации) решения о назначении (проведении) выборов. Указанные специалисты откомандировываются в распоряжение КРС на срок не менее пяти месяцев.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2.5. На период работы в КРС ее члены, откомандированные в распоряжение Комиссии, освобождаются от основной работы, за ними сохраняются место работы (должность), установленные должностные оклады и иные выплаты по основному месту работы, им также может выплачиваться вознаграждение за счет средств, выделенных на подготовку и проведение выборов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2.6. В </w:t>
      </w:r>
      <w:proofErr w:type="gramStart"/>
      <w:r w:rsidRPr="002D6619">
        <w:rPr>
          <w:sz w:val="28"/>
          <w:szCs w:val="28"/>
        </w:rPr>
        <w:t>случае</w:t>
      </w:r>
      <w:proofErr w:type="gramEnd"/>
      <w:r w:rsidRPr="002D6619">
        <w:rPr>
          <w:sz w:val="28"/>
          <w:szCs w:val="28"/>
        </w:rPr>
        <w:t xml:space="preserve"> прекращения полномочий членов Комиссии,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Комиссии.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2.7. В состав КРС не могут входить кандидаты в депутаты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 xml:space="preserve">, их уполномоченные представители по финансовым вопросам и доверенные лица, уполномоченные представители и доверенные лица </w:t>
      </w:r>
      <w:r>
        <w:rPr>
          <w:sz w:val="28"/>
          <w:szCs w:val="28"/>
        </w:rPr>
        <w:t>избирательных объединений</w:t>
      </w:r>
      <w:r w:rsidRPr="002D6619">
        <w:rPr>
          <w:sz w:val="28"/>
          <w:szCs w:val="28"/>
        </w:rPr>
        <w:t xml:space="preserve">, уполномоченные по финансовым вопросам </w:t>
      </w:r>
      <w:r>
        <w:rPr>
          <w:sz w:val="28"/>
          <w:szCs w:val="28"/>
        </w:rPr>
        <w:t>избирательных объединений</w:t>
      </w:r>
      <w:r w:rsidRPr="002D6619">
        <w:rPr>
          <w:sz w:val="28"/>
          <w:szCs w:val="28"/>
        </w:rPr>
        <w:t>, члены нижестоящих избирательных комиссий, супруги и близкие родственники кандидатов, лица, находящиеся в непосредственном подчинении у кандидатов.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>3. Задачи и функции КРС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3.1. КРС выполняет следующие задачи.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3.1.1. </w:t>
      </w:r>
      <w:proofErr w:type="gramStart"/>
      <w:r w:rsidRPr="002D6619">
        <w:rPr>
          <w:sz w:val="28"/>
          <w:szCs w:val="28"/>
        </w:rPr>
        <w:t>Контроль за</w:t>
      </w:r>
      <w:proofErr w:type="gramEnd"/>
      <w:r w:rsidRPr="002D6619">
        <w:rPr>
          <w:sz w:val="28"/>
          <w:szCs w:val="28"/>
        </w:rPr>
        <w:t xml:space="preserve"> целевым расходованием денежных средств, выделенных Комиссии на подготовку и проведение выборов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3.1.2. </w:t>
      </w:r>
      <w:proofErr w:type="gramStart"/>
      <w:r w:rsidRPr="002D6619">
        <w:rPr>
          <w:sz w:val="28"/>
          <w:szCs w:val="28"/>
        </w:rPr>
        <w:t>Контроль за</w:t>
      </w:r>
      <w:proofErr w:type="gramEnd"/>
      <w:r w:rsidRPr="002D6619">
        <w:rPr>
          <w:sz w:val="28"/>
          <w:szCs w:val="28"/>
        </w:rPr>
        <w:t xml:space="preserve"> источниками поступления, организацией учета и использованием денежных средств избирательных фондов кандидатов.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3.1.3. Проверка финансовых отчетов кандидатов.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3.1.4. Организация проверки достоверности представленных кандидатами сведений, предусмотренных законодательством о выборах, для уведомления о выдвижении и (или) регистрации: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о гражданстве, профессиональном образовании,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бумагах;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сведений о таких обязательствах его супруга и несовершеннолетних детей;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proofErr w:type="gramStart"/>
      <w:r w:rsidRPr="002D6619">
        <w:rPr>
          <w:sz w:val="28"/>
          <w:szCs w:val="28"/>
        </w:rPr>
        <w:t>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</w:t>
      </w:r>
      <w:proofErr w:type="gramEnd"/>
      <w:r w:rsidRPr="002D6619">
        <w:rPr>
          <w:sz w:val="28"/>
          <w:szCs w:val="28"/>
        </w:rPr>
        <w:t xml:space="preserve"> </w:t>
      </w:r>
      <w:proofErr w:type="gramStart"/>
      <w:r w:rsidRPr="002D6619">
        <w:rPr>
          <w:sz w:val="28"/>
          <w:szCs w:val="28"/>
        </w:rPr>
        <w:t>источниках</w:t>
      </w:r>
      <w:proofErr w:type="gramEnd"/>
      <w:r w:rsidRPr="002D6619">
        <w:rPr>
          <w:sz w:val="28"/>
          <w:szCs w:val="28"/>
        </w:rPr>
        <w:t xml:space="preserve"> получения средств, за счет которых совершена сделка;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о 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 к моменту представления документов, необходимых для регистрации кандидата;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о судимости кандидатов, выдвинутых по одномандатному избирательному округу.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3.2. КРС осуществляет следующие функции.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3.2.1. Обеспечивает </w:t>
      </w:r>
      <w:proofErr w:type="gramStart"/>
      <w:r w:rsidRPr="002D6619">
        <w:rPr>
          <w:sz w:val="28"/>
          <w:szCs w:val="28"/>
        </w:rPr>
        <w:t>контроль за</w:t>
      </w:r>
      <w:proofErr w:type="gramEnd"/>
      <w:r w:rsidRPr="002D6619">
        <w:rPr>
          <w:sz w:val="28"/>
          <w:szCs w:val="28"/>
        </w:rPr>
        <w:t xml:space="preserve"> соблюдением участниками избирательного процесса федеральных законов, нормативных актов </w:t>
      </w:r>
      <w:r>
        <w:rPr>
          <w:sz w:val="28"/>
          <w:szCs w:val="28"/>
        </w:rPr>
        <w:t>ЦИК Республики Татарстан</w:t>
      </w:r>
      <w:r w:rsidRPr="002D6619">
        <w:rPr>
          <w:sz w:val="28"/>
          <w:szCs w:val="28"/>
        </w:rPr>
        <w:t xml:space="preserve">, регулирующих финансирование выборов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.</w:t>
      </w:r>
    </w:p>
    <w:p w:rsidR="00242B24" w:rsidRPr="002D6619" w:rsidRDefault="00242B24" w:rsidP="00242B24">
      <w:pPr>
        <w:ind w:firstLine="709"/>
        <w:jc w:val="both"/>
        <w:rPr>
          <w:spacing w:val="-2"/>
          <w:sz w:val="28"/>
          <w:szCs w:val="28"/>
        </w:rPr>
      </w:pPr>
      <w:r w:rsidRPr="002D6619">
        <w:rPr>
          <w:spacing w:val="-2"/>
          <w:sz w:val="28"/>
          <w:szCs w:val="28"/>
        </w:rPr>
        <w:t xml:space="preserve">3.2.2. Обеспечивает </w:t>
      </w:r>
      <w:proofErr w:type="gramStart"/>
      <w:r w:rsidRPr="002D6619">
        <w:rPr>
          <w:spacing w:val="-2"/>
          <w:sz w:val="28"/>
          <w:szCs w:val="28"/>
        </w:rPr>
        <w:t>контроль за</w:t>
      </w:r>
      <w:proofErr w:type="gramEnd"/>
      <w:r w:rsidRPr="002D6619">
        <w:rPr>
          <w:spacing w:val="-2"/>
          <w:sz w:val="28"/>
          <w:szCs w:val="28"/>
        </w:rPr>
        <w:t xml:space="preserve"> соблюдением кандидатами установленного порядка финансирования проведения предвыборной агитации.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3.2.3. Обеспечивает </w:t>
      </w:r>
      <w:proofErr w:type="gramStart"/>
      <w:r w:rsidRPr="002D6619">
        <w:rPr>
          <w:sz w:val="28"/>
          <w:szCs w:val="28"/>
        </w:rPr>
        <w:t>контроль за</w:t>
      </w:r>
      <w:proofErr w:type="gramEnd"/>
      <w:r w:rsidRPr="002D6619">
        <w:rPr>
          <w:sz w:val="28"/>
          <w:szCs w:val="28"/>
        </w:rPr>
        <w:t xml:space="preserve"> источниками поступления, правильным учетом и использованием денежных средств избирательных фондов кандидатов.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3.2.4. Участвует в проверке финансовых отчетов кандидатов при проведении выборов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3.2.5. Участвует в проверке достоверности сведений, перечисленных в пункте 3.1.4 настоящего Положения.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3.2.6. Участвует в приеме сведений и документов, предусмотренных законодательством о выборах для уведомления о выдвижении и (или) регистрации кандидатов.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3.2.7. Участвует в выявлении фактов финансирования избирательных кампаний кандидатов помимо соответствующих избирательных фондов. 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3.2.8. Осуществляет иные мероприятия. 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>4. Организация деятельности КРС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4.1. Руководитель КРС: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4.1.1. Осуществляет общее руководство КРС и несет ответственность за выполнение возложенных на нее задач.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4.1.2. Организует работу КРС, созывает ее заседания и председательствует на них, вносит на рассмотрение Комиссии предложения, связанные с организацией и совершенствованием работы КРС. Организует выполнение решений Комиссии и поручений председателя Комиссии, своих поручений, информирует Комиссию по вопросам, находящимся в компетенции КРС, о работе КРС на заседаниях и совещаниях.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4.1.3. Представляет или поручает своему заместителю, иным членам КРС представлять КРС во взаимоотношениях с территориальными органами государственных и иных органов и учреждений, кандидатами на выборах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4.1.4. Подписывает документы КРС, относящиеся к ее ведению.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4.1.5.  Определяет обязанности заместителя и членов КРС, в том числе обязанность представлять КРС во взаимоотношениях с территориальными органами государственных и иных органов и учреждений, кандидатами на выборах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4.1.6. Вносит на рассмотрение председателя Комиссии предложения о привлечении к работе КРС экспертов на основе гражданско-правовых договоров.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4.1.7. Осуществляет иные полномочия, предусмотренные федеральным законодательством и настоящим Положением.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4.2. Члены КРС: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4.2.1. Обеспечивают качественное и своевременное выполнение возложенных на них обязанностей, участвуют в подготовке и проведении заседаний КРС. 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4.2.2. По поручению руководителя КРС или его заместителя участвуют в проверках соблюдения кандидатами на выборах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 xml:space="preserve"> законодательства Российской Федерации, положений нормативных актов </w:t>
      </w:r>
      <w:r>
        <w:rPr>
          <w:sz w:val="28"/>
          <w:szCs w:val="28"/>
        </w:rPr>
        <w:t>ЦИК России и ЦИК Республики Татарстан</w:t>
      </w:r>
      <w:r w:rsidRPr="002D6619">
        <w:rPr>
          <w:sz w:val="28"/>
          <w:szCs w:val="28"/>
        </w:rPr>
        <w:t xml:space="preserve"> по вопросам, находящимся в компетенции КРС.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4.2.3. Обеспечивают </w:t>
      </w:r>
      <w:proofErr w:type="gramStart"/>
      <w:r w:rsidRPr="002D6619">
        <w:rPr>
          <w:sz w:val="28"/>
          <w:szCs w:val="28"/>
        </w:rPr>
        <w:t>контроль за</w:t>
      </w:r>
      <w:proofErr w:type="gramEnd"/>
      <w:r w:rsidRPr="002D6619">
        <w:rPr>
          <w:sz w:val="28"/>
          <w:szCs w:val="28"/>
        </w:rPr>
        <w:t xml:space="preserve"> устранением нарушений законодательства Российской Федерации, положений нормативных актов </w:t>
      </w:r>
      <w:r>
        <w:rPr>
          <w:sz w:val="28"/>
          <w:szCs w:val="28"/>
        </w:rPr>
        <w:t>ЦИК Республики Татарстан</w:t>
      </w:r>
      <w:r w:rsidRPr="002D6619">
        <w:rPr>
          <w:sz w:val="28"/>
          <w:szCs w:val="28"/>
        </w:rPr>
        <w:t xml:space="preserve">, выявленных в ходе проверок расходования бюджетных средств Комиссией, выделенных на подготовку и проведение выборов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 xml:space="preserve">. 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4.2.4. Готовят документы о финансовых нарушениях при проведении выборов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, несут ответственность за достоверность сведений, указанных в этих документах.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4.2.5. По поручению руководства КРС запрашивают и получают сведения и материалы по вопросам, находящимся в компетенции КРС, от кандидатов на выборах депутатов </w:t>
      </w:r>
      <w:r>
        <w:rPr>
          <w:sz w:val="28"/>
          <w:szCs w:val="28"/>
        </w:rPr>
        <w:t>Государственного Совета</w:t>
      </w:r>
      <w:r w:rsidRPr="002D6619">
        <w:rPr>
          <w:sz w:val="28"/>
          <w:szCs w:val="28"/>
        </w:rPr>
        <w:t>, территориальных органов государственных и иных органов и учреждений, а также от граждан и юридических лиц.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4.2.6. По поручению руководителя КРС или его заместителя участвуют в заседаниях Комиссии, совещаниях при обсуждении вопросов, находящихся в компетенции КРС.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4.2.7. Участвуют в подготовке и проведении заседаний КРС.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>5. Заседания КРС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5.1. Заседания КРС проводятся по мере необходимости. По итогам заседания оформляется протокол, который утверждается Руководителем КРС.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5.2. Председательствует на заседании КРС ее руководитель либо по его поручению заместитель руководителя. Вопросы для рассмотрения на заседании КРС вносятся руководителем КРС как по собственной инициативе, так и на основании предложений заместителя руководителя КРС, членов КРС и Комиссии.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5.3. На заседаниях КРС могут присутствовать члены </w:t>
      </w:r>
      <w:proofErr w:type="gramStart"/>
      <w:r w:rsidRPr="002D6619"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не являющиеся членами КРС</w:t>
      </w:r>
      <w:r w:rsidRPr="002D6619">
        <w:rPr>
          <w:sz w:val="28"/>
          <w:szCs w:val="28"/>
        </w:rPr>
        <w:t>.</w:t>
      </w:r>
    </w:p>
    <w:p w:rsidR="00242B24" w:rsidRPr="002D661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 xml:space="preserve">5.4. В </w:t>
      </w:r>
      <w:proofErr w:type="gramStart"/>
      <w:r w:rsidRPr="002D6619">
        <w:rPr>
          <w:sz w:val="28"/>
          <w:szCs w:val="28"/>
        </w:rPr>
        <w:t>случае</w:t>
      </w:r>
      <w:proofErr w:type="gramEnd"/>
      <w:r w:rsidRPr="002D6619">
        <w:rPr>
          <w:sz w:val="28"/>
          <w:szCs w:val="28"/>
        </w:rPr>
        <w:t xml:space="preserve"> необходимости на заседания КРС могут приглашаться представители государственных и иных органов, организаций и учреждений, кандидаты, их уполномоченные представители по финансовым вопросам и доверенные лица, представители средств массовой информации, эксперты и другие специалисты.</w:t>
      </w:r>
    </w:p>
    <w:p w:rsidR="00242B24" w:rsidRPr="002D6619" w:rsidRDefault="00242B24" w:rsidP="00242B24">
      <w:pPr>
        <w:jc w:val="center"/>
        <w:rPr>
          <w:b/>
          <w:sz w:val="28"/>
          <w:szCs w:val="28"/>
        </w:rPr>
      </w:pPr>
      <w:r w:rsidRPr="002D6619">
        <w:rPr>
          <w:b/>
          <w:sz w:val="28"/>
          <w:szCs w:val="28"/>
        </w:rPr>
        <w:t>6. Обеспечение деятельности КРС</w:t>
      </w:r>
    </w:p>
    <w:p w:rsidR="00242B24" w:rsidRPr="003534E9" w:rsidRDefault="00242B24" w:rsidP="00242B24">
      <w:pPr>
        <w:ind w:firstLine="709"/>
        <w:jc w:val="both"/>
        <w:rPr>
          <w:sz w:val="28"/>
          <w:szCs w:val="28"/>
        </w:rPr>
      </w:pPr>
      <w:r w:rsidRPr="002D6619">
        <w:rPr>
          <w:sz w:val="28"/>
          <w:szCs w:val="28"/>
        </w:rPr>
        <w:t>Организационное, правовое и материально-техническое обеспечение деятельности КРС осуществляет Комиссия.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i/>
          <w:sz w:val="24"/>
          <w:szCs w:val="24"/>
          <w:vertAlign w:val="superscript"/>
        </w:rPr>
        <w:tab/>
      </w:r>
    </w:p>
    <w:p w:rsidR="00365799" w:rsidRDefault="00365799" w:rsidP="00242B24">
      <w:pPr>
        <w:pStyle w:val="ad"/>
        <w:suppressAutoHyphens/>
        <w:ind w:left="5529"/>
        <w:rPr>
          <w:sz w:val="28"/>
          <w:szCs w:val="28"/>
        </w:rPr>
      </w:pPr>
    </w:p>
    <w:sectPr w:rsidR="00365799" w:rsidSect="00D022E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29" w:rsidRDefault="000F3F29" w:rsidP="00CE7DCD">
      <w:r>
        <w:separator/>
      </w:r>
    </w:p>
  </w:endnote>
  <w:endnote w:type="continuationSeparator" w:id="0">
    <w:p w:rsidR="000F3F29" w:rsidRDefault="000F3F29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29" w:rsidRDefault="000F3F29" w:rsidP="00CE7DCD">
      <w:r>
        <w:separator/>
      </w:r>
    </w:p>
  </w:footnote>
  <w:footnote w:type="continuationSeparator" w:id="0">
    <w:p w:rsidR="000F3F29" w:rsidRDefault="000F3F29" w:rsidP="00CE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DA" w:rsidRPr="007B5EDA" w:rsidRDefault="007B5E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E"/>
    <w:rsid w:val="000B0DCD"/>
    <w:rsid w:val="000D0B73"/>
    <w:rsid w:val="000F3F29"/>
    <w:rsid w:val="001155EA"/>
    <w:rsid w:val="00132287"/>
    <w:rsid w:val="00153636"/>
    <w:rsid w:val="001924EF"/>
    <w:rsid w:val="00201D5B"/>
    <w:rsid w:val="00201EA0"/>
    <w:rsid w:val="00212FC5"/>
    <w:rsid w:val="00242B24"/>
    <w:rsid w:val="002A069D"/>
    <w:rsid w:val="002B0E74"/>
    <w:rsid w:val="002E38D5"/>
    <w:rsid w:val="00311FB6"/>
    <w:rsid w:val="00322CC3"/>
    <w:rsid w:val="00333BF6"/>
    <w:rsid w:val="00365799"/>
    <w:rsid w:val="003C2F3D"/>
    <w:rsid w:val="003F5261"/>
    <w:rsid w:val="0042779E"/>
    <w:rsid w:val="004375FE"/>
    <w:rsid w:val="00452F02"/>
    <w:rsid w:val="00456842"/>
    <w:rsid w:val="00477407"/>
    <w:rsid w:val="004919D2"/>
    <w:rsid w:val="004A6DF4"/>
    <w:rsid w:val="004B0220"/>
    <w:rsid w:val="004C6184"/>
    <w:rsid w:val="004C6493"/>
    <w:rsid w:val="005446D7"/>
    <w:rsid w:val="005A137A"/>
    <w:rsid w:val="005B1854"/>
    <w:rsid w:val="005D20D0"/>
    <w:rsid w:val="005D3D3D"/>
    <w:rsid w:val="005E2E85"/>
    <w:rsid w:val="00645926"/>
    <w:rsid w:val="00673803"/>
    <w:rsid w:val="0067565C"/>
    <w:rsid w:val="0067647D"/>
    <w:rsid w:val="00687539"/>
    <w:rsid w:val="006C59FF"/>
    <w:rsid w:val="006C749B"/>
    <w:rsid w:val="007A1EFC"/>
    <w:rsid w:val="007B5EDA"/>
    <w:rsid w:val="008132A1"/>
    <w:rsid w:val="00820BFE"/>
    <w:rsid w:val="00866073"/>
    <w:rsid w:val="00893681"/>
    <w:rsid w:val="0089608C"/>
    <w:rsid w:val="008970FA"/>
    <w:rsid w:val="008C0269"/>
    <w:rsid w:val="008F60A8"/>
    <w:rsid w:val="0097691A"/>
    <w:rsid w:val="00993114"/>
    <w:rsid w:val="009A305E"/>
    <w:rsid w:val="009C015C"/>
    <w:rsid w:val="00A25C5C"/>
    <w:rsid w:val="00A40902"/>
    <w:rsid w:val="00A50842"/>
    <w:rsid w:val="00AA47EB"/>
    <w:rsid w:val="00B062E9"/>
    <w:rsid w:val="00B106E3"/>
    <w:rsid w:val="00B159F3"/>
    <w:rsid w:val="00B21BA8"/>
    <w:rsid w:val="00BF6A5A"/>
    <w:rsid w:val="00C05197"/>
    <w:rsid w:val="00C151FC"/>
    <w:rsid w:val="00C20F15"/>
    <w:rsid w:val="00C63AF1"/>
    <w:rsid w:val="00C65CA3"/>
    <w:rsid w:val="00CA143B"/>
    <w:rsid w:val="00CC6D61"/>
    <w:rsid w:val="00CE7DCD"/>
    <w:rsid w:val="00D3160A"/>
    <w:rsid w:val="00D44334"/>
    <w:rsid w:val="00D4592C"/>
    <w:rsid w:val="00DA0EF7"/>
    <w:rsid w:val="00DC1789"/>
    <w:rsid w:val="00E14C15"/>
    <w:rsid w:val="00E71FAA"/>
    <w:rsid w:val="00E7218A"/>
    <w:rsid w:val="00E738F2"/>
    <w:rsid w:val="00EA3FFD"/>
    <w:rsid w:val="00EB0DC7"/>
    <w:rsid w:val="00EB1FBC"/>
    <w:rsid w:val="00ED16FE"/>
    <w:rsid w:val="00EE455E"/>
    <w:rsid w:val="00F2481E"/>
    <w:rsid w:val="00F649B7"/>
    <w:rsid w:val="00F8359E"/>
    <w:rsid w:val="00F96E00"/>
    <w:rsid w:val="00FA1308"/>
    <w:rsid w:val="00FA3770"/>
    <w:rsid w:val="00FC6211"/>
    <w:rsid w:val="00FD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EB1F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1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Заголовок"/>
    <w:basedOn w:val="a"/>
    <w:next w:val="a6"/>
    <w:rsid w:val="00242B24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rsid w:val="00242B2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EB1F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1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Заголовок"/>
    <w:basedOn w:val="a"/>
    <w:next w:val="a6"/>
    <w:rsid w:val="00242B24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rsid w:val="00242B2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807B-FC8C-403C-A8BE-CC7F4E58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3</cp:revision>
  <cp:lastPrinted>2019-07-03T08:37:00Z</cp:lastPrinted>
  <dcterms:created xsi:type="dcterms:W3CDTF">2019-07-03T08:46:00Z</dcterms:created>
  <dcterms:modified xsi:type="dcterms:W3CDTF">2019-07-03T08:54:00Z</dcterms:modified>
</cp:coreProperties>
</file>