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90" w:rsidRDefault="00B57990" w:rsidP="00B57990">
      <w:pPr>
        <w:pStyle w:val="ConsPlusTitle"/>
        <w:widowControl/>
        <w:ind w:right="56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83"/>
        <w:gridCol w:w="1102"/>
        <w:gridCol w:w="4178"/>
      </w:tblGrid>
      <w:tr w:rsidR="00B57990" w:rsidRPr="00B50BD8" w:rsidTr="00D515BE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B57990" w:rsidRPr="006C5827" w:rsidRDefault="00B57990" w:rsidP="00D515BE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  <w:lang w:val="tt-RU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</w:t>
            </w:r>
            <w:r>
              <w:rPr>
                <w:rFonts w:ascii="Times New Roman" w:hAnsi="Times New Roman"/>
                <w:b/>
                <w:caps/>
                <w:sz w:val="20"/>
                <w:lang w:val="tt-RU"/>
              </w:rPr>
              <w:t>А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ТАТАРСТАН АПАСТОВСК</w:t>
            </w:r>
            <w:r>
              <w:rPr>
                <w:rFonts w:ascii="Times New Roman" w:hAnsi="Times New Roman"/>
                <w:b/>
                <w:caps/>
                <w:sz w:val="20"/>
                <w:lang w:val="tt-RU"/>
              </w:rPr>
              <w:t xml:space="preserve">ИЙ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  <w:lang w:val="tt-RU"/>
              </w:rPr>
              <w:t>ЫЙ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  <w:lang w:val="tt-RU"/>
              </w:rPr>
              <w:t xml:space="preserve">,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ПАЛАТА ИМУЩЕСТВЕННЫХ И ЗЕМЕЛЬНЫХ ОТНОШЕНИЙ  </w:t>
            </w:r>
          </w:p>
          <w:p w:rsidR="00B57990" w:rsidRDefault="00B57990" w:rsidP="00D515BE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7990" w:rsidRPr="00B50BD8" w:rsidRDefault="00B57990" w:rsidP="00D515BE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B57990" w:rsidRDefault="00B57990" w:rsidP="00D515B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39F11AE" wp14:editId="5875F81B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22" name="Рисунок 22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57990" w:rsidRPr="00B50BD8" w:rsidRDefault="00B57990" w:rsidP="00D515BE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B57990" w:rsidRPr="006C5827" w:rsidRDefault="00B57990" w:rsidP="00D515BE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>АПАС МУНИЦИПАЛЬ</w:t>
            </w:r>
            <w:r>
              <w:rPr>
                <w:rFonts w:ascii="Times New Roman" w:hAnsi="Times New Roman"/>
                <w:b/>
                <w:caps/>
                <w:sz w:val="20"/>
                <w:lang w:val="tt-RU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aps/>
                <w:sz w:val="20"/>
                <w:lang w:val="tt-RU"/>
              </w:rPr>
              <w:t>МӨЛКӘ</w:t>
            </w:r>
            <w:proofErr w:type="gramStart"/>
            <w:r>
              <w:rPr>
                <w:rFonts w:ascii="Times New Roman" w:hAnsi="Times New Roman"/>
                <w:b/>
                <w:caps/>
                <w:sz w:val="20"/>
                <w:lang w:val="tt-RU"/>
              </w:rPr>
              <w:t>ТИ ҺӘМ</w:t>
            </w:r>
            <w:proofErr w:type="gramEnd"/>
            <w:r>
              <w:rPr>
                <w:rFonts w:ascii="Times New Roman" w:hAnsi="Times New Roman"/>
                <w:b/>
                <w:caps/>
                <w:sz w:val="20"/>
                <w:lang w:val="tt-RU"/>
              </w:rPr>
              <w:t xml:space="preserve"> ҖИР МӨНӘСӘБӘТЛӘРЕ ПАЛАТАСЫ</w:t>
            </w:r>
          </w:p>
          <w:p w:rsidR="00B57990" w:rsidRDefault="00B57990" w:rsidP="00D515BE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7990" w:rsidRPr="00B50BD8" w:rsidRDefault="00B57990" w:rsidP="00D515BE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B57990" w:rsidRPr="00B50BD8" w:rsidTr="00D515BE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B57990" w:rsidRPr="00B50BD8" w:rsidRDefault="00B57990" w:rsidP="00D515BE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тел.: (84376) 2-</w:t>
            </w:r>
            <w:r>
              <w:rPr>
                <w:rFonts w:ascii="Times New Roman" w:hAnsi="Times New Roman"/>
                <w:sz w:val="20"/>
                <w:lang w:val="tt-RU"/>
              </w:rPr>
              <w:t>24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  <w:lang w:val="tt-RU"/>
              </w:rPr>
              <w:t>71</w:t>
            </w:r>
            <w:r>
              <w:rPr>
                <w:rFonts w:ascii="Times New Roman" w:hAnsi="Times New Roman"/>
                <w:sz w:val="20"/>
              </w:rPr>
              <w:t>, факс: 2-</w:t>
            </w:r>
            <w:r>
              <w:rPr>
                <w:rFonts w:ascii="Times New Roman" w:hAnsi="Times New Roman"/>
                <w:sz w:val="20"/>
                <w:lang w:val="tt-RU"/>
              </w:rPr>
              <w:t>24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  <w:lang w:val="tt-RU"/>
              </w:rPr>
              <w:t>54</w:t>
            </w:r>
            <w:r w:rsidRPr="00B50BD8">
              <w:rPr>
                <w:rFonts w:ascii="Times New Roman" w:hAnsi="Times New Roman"/>
                <w:sz w:val="20"/>
              </w:rPr>
              <w:t xml:space="preserve">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apas</w:t>
            </w:r>
            <w:proofErr w:type="spellEnd"/>
            <w:r>
              <w:rPr>
                <w:rFonts w:ascii="Times New Roman" w:hAnsi="Times New Roman"/>
                <w:sz w:val="20"/>
                <w:lang w:val="en-US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pizo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B57990" w:rsidRPr="00775B2C" w:rsidTr="00D515BE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46"/>
              <w:gridCol w:w="425"/>
              <w:gridCol w:w="2107"/>
            </w:tblGrid>
            <w:tr w:rsidR="00B57990" w:rsidTr="00D515BE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B57990" w:rsidRPr="003311E5" w:rsidRDefault="00B57990" w:rsidP="00D515BE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4"/>
                    </w:rPr>
                    <w:t>РАСПОРЯЖЕНИЕ</w:t>
                  </w:r>
                </w:p>
              </w:tc>
            </w:tr>
            <w:tr w:rsidR="00B57990" w:rsidTr="00D515BE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B57990" w:rsidRPr="00987B2F" w:rsidRDefault="00B57990" w:rsidP="00D515BE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B57990" w:rsidRPr="00987B2F" w:rsidRDefault="00B57990" w:rsidP="00D515BE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B57990" w:rsidRPr="00987B2F" w:rsidRDefault="00B57990" w:rsidP="00D515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B57990" w:rsidRPr="006218CB" w:rsidRDefault="00B57990" w:rsidP="00D515BE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B57990" w:rsidRPr="00B50BD8" w:rsidRDefault="00B57990" w:rsidP="00D515BE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B57990" w:rsidRDefault="00B57990" w:rsidP="00D515BE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B57990" w:rsidRPr="00775B2C" w:rsidRDefault="00B57990" w:rsidP="00D51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БОЕРЫК</w:t>
            </w:r>
          </w:p>
        </w:tc>
      </w:tr>
      <w:tr w:rsidR="00B57990" w:rsidTr="00D515BE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B57990" w:rsidRDefault="00B57990" w:rsidP="00D515BE"/>
        </w:tc>
      </w:tr>
    </w:tbl>
    <w:p w:rsidR="00192794" w:rsidRPr="00F4027E" w:rsidRDefault="00B57990" w:rsidP="00F4027E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  <w:lang w:eastAsia="zh-CN"/>
        </w:rPr>
      </w:pPr>
      <w:r w:rsidRPr="00F4027E">
        <w:rPr>
          <w:rFonts w:ascii="Times New Roman" w:hAnsi="Times New Roman"/>
          <w:b/>
          <w:sz w:val="28"/>
          <w:szCs w:val="28"/>
        </w:rPr>
        <w:t>О внесении изменений в административный регламент</w:t>
      </w:r>
      <w:r w:rsidRPr="00F4027E">
        <w:rPr>
          <w:rFonts w:ascii="Times New Roman" w:hAnsi="Times New Roman"/>
          <w:sz w:val="28"/>
          <w:szCs w:val="28"/>
        </w:rPr>
        <w:t xml:space="preserve"> </w:t>
      </w:r>
      <w:r w:rsidR="00192794" w:rsidRPr="00F4027E">
        <w:rPr>
          <w:rFonts w:ascii="Times New Roman" w:hAnsi="Times New Roman"/>
          <w:b/>
          <w:bCs/>
          <w:sz w:val="28"/>
          <w:szCs w:val="28"/>
          <w:lang w:eastAsia="zh-CN"/>
        </w:rPr>
        <w:t xml:space="preserve">предоставления муниципальной услуги по предоставлению </w:t>
      </w:r>
      <w:r w:rsidR="00192794" w:rsidRPr="00F4027E">
        <w:rPr>
          <w:rFonts w:ascii="Times New Roman" w:hAnsi="Times New Roman"/>
          <w:b/>
          <w:bCs/>
          <w:sz w:val="28"/>
          <w:szCs w:val="28"/>
          <w:lang w:eastAsia="zh-CN"/>
        </w:rPr>
        <w:br/>
        <w:t xml:space="preserve">земельного участка в аренду, </w:t>
      </w:r>
      <w:r w:rsidR="00192794" w:rsidRPr="00F4027E">
        <w:rPr>
          <w:rFonts w:ascii="Times New Roman" w:hAnsi="Times New Roman"/>
          <w:b/>
          <w:bCs/>
          <w:sz w:val="28"/>
          <w:szCs w:val="28"/>
          <w:lang w:eastAsia="zh-CN"/>
        </w:rPr>
        <w:br/>
        <w:t>в собственность за плату без проведения торгов</w:t>
      </w:r>
    </w:p>
    <w:p w:rsidR="00B57990" w:rsidRPr="00F4027E" w:rsidRDefault="00B57990" w:rsidP="00F4027E">
      <w:pPr>
        <w:pStyle w:val="ConsPlusTitle"/>
        <w:widowControl/>
        <w:ind w:right="56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92794" w:rsidRPr="00F4027E" w:rsidRDefault="00B57990" w:rsidP="00F4027E">
      <w:pPr>
        <w:pStyle w:val="1"/>
        <w:ind w:right="-2" w:firstLine="708"/>
        <w:rPr>
          <w:b w:val="0"/>
          <w:szCs w:val="28"/>
          <w:lang w:val="ru-RU"/>
        </w:rPr>
      </w:pPr>
      <w:r w:rsidRPr="00F4027E">
        <w:rPr>
          <w:b w:val="0"/>
          <w:szCs w:val="28"/>
          <w:lang w:val="ru-RU"/>
        </w:rPr>
        <w:t xml:space="preserve">В </w:t>
      </w:r>
      <w:proofErr w:type="gramStart"/>
      <w:r w:rsidRPr="00F4027E">
        <w:rPr>
          <w:b w:val="0"/>
          <w:szCs w:val="28"/>
          <w:lang w:val="ru-RU"/>
        </w:rPr>
        <w:t>соответствии</w:t>
      </w:r>
      <w:proofErr w:type="gramEnd"/>
      <w:r w:rsidRPr="00F4027E">
        <w:rPr>
          <w:b w:val="0"/>
          <w:szCs w:val="28"/>
          <w:lang w:val="ru-RU"/>
        </w:rPr>
        <w:t xml:space="preserve"> с  Земельным кодексом Российской Федерации  </w:t>
      </w:r>
    </w:p>
    <w:p w:rsidR="00192794" w:rsidRPr="00F4027E" w:rsidRDefault="00192794" w:rsidP="00F4027E">
      <w:pPr>
        <w:pStyle w:val="1"/>
        <w:ind w:right="-2" w:firstLine="708"/>
        <w:rPr>
          <w:b w:val="0"/>
          <w:szCs w:val="28"/>
          <w:lang w:val="ru-RU"/>
        </w:rPr>
      </w:pPr>
      <w:r w:rsidRPr="00F4027E">
        <w:rPr>
          <w:b w:val="0"/>
          <w:szCs w:val="28"/>
          <w:lang w:val="ru-RU"/>
        </w:rPr>
        <w:t>1.В</w:t>
      </w:r>
      <w:r w:rsidR="00B57990" w:rsidRPr="00F4027E">
        <w:rPr>
          <w:b w:val="0"/>
          <w:szCs w:val="28"/>
        </w:rPr>
        <w:t xml:space="preserve">нести в </w:t>
      </w:r>
      <w:r w:rsidRPr="00F4027E">
        <w:rPr>
          <w:b w:val="0"/>
          <w:szCs w:val="28"/>
        </w:rPr>
        <w:t>административный регламент</w:t>
      </w:r>
      <w:r w:rsidRPr="00F4027E">
        <w:rPr>
          <w:szCs w:val="28"/>
        </w:rPr>
        <w:t xml:space="preserve"> </w:t>
      </w:r>
      <w:r w:rsidRPr="00F4027E">
        <w:rPr>
          <w:b w:val="0"/>
          <w:bCs/>
          <w:szCs w:val="28"/>
        </w:rPr>
        <w:t xml:space="preserve">предоставления муниципальной услуги по предоставлению земельного участка в аренду, </w:t>
      </w:r>
      <w:r w:rsidRPr="00F4027E">
        <w:rPr>
          <w:b w:val="0"/>
          <w:bCs/>
          <w:szCs w:val="28"/>
        </w:rPr>
        <w:br/>
        <w:t>в собственность за плату без проведения торгов</w:t>
      </w:r>
      <w:r w:rsidRPr="00F4027E">
        <w:rPr>
          <w:b w:val="0"/>
          <w:szCs w:val="28"/>
        </w:rPr>
        <w:t xml:space="preserve"> </w:t>
      </w:r>
      <w:r w:rsidR="00B57990" w:rsidRPr="00F4027E">
        <w:rPr>
          <w:b w:val="0"/>
          <w:szCs w:val="28"/>
        </w:rPr>
        <w:t xml:space="preserve">(приложение № </w:t>
      </w:r>
      <w:r w:rsidRPr="00F4027E">
        <w:rPr>
          <w:b w:val="0"/>
          <w:szCs w:val="28"/>
          <w:lang w:val="ru-RU"/>
        </w:rPr>
        <w:t>7</w:t>
      </w:r>
      <w:r w:rsidR="00B57990" w:rsidRPr="00F4027E">
        <w:rPr>
          <w:b w:val="0"/>
          <w:szCs w:val="28"/>
        </w:rPr>
        <w:t xml:space="preserve"> к распоряжению Палаты имущественных и земельных отношений Апастовского муниципального района Республики Татарстан от 3 августа   2021 г. № 89-р) </w:t>
      </w:r>
      <w:r w:rsidRPr="00F4027E">
        <w:rPr>
          <w:b w:val="0"/>
          <w:szCs w:val="28"/>
          <w:lang w:val="ru-RU"/>
        </w:rPr>
        <w:t>следующие изменения:</w:t>
      </w:r>
    </w:p>
    <w:p w:rsidR="00F4027E" w:rsidRPr="00F4027E" w:rsidRDefault="00B57990" w:rsidP="00F4027E">
      <w:pPr>
        <w:pStyle w:val="1"/>
        <w:ind w:right="-2" w:firstLine="708"/>
        <w:rPr>
          <w:b w:val="0"/>
          <w:szCs w:val="28"/>
          <w:lang w:val="ru-RU"/>
        </w:rPr>
      </w:pPr>
      <w:r w:rsidRPr="00F4027E">
        <w:rPr>
          <w:b w:val="0"/>
          <w:szCs w:val="28"/>
        </w:rPr>
        <w:t>подпункт 6</w:t>
      </w:r>
      <w:r w:rsidR="00192794" w:rsidRPr="00F4027E">
        <w:rPr>
          <w:b w:val="0"/>
          <w:szCs w:val="28"/>
          <w:lang w:val="ru-RU"/>
        </w:rPr>
        <w:t>.2</w:t>
      </w:r>
      <w:r w:rsidRPr="00F4027E">
        <w:rPr>
          <w:b w:val="0"/>
          <w:szCs w:val="28"/>
        </w:rPr>
        <w:t xml:space="preserve"> пункта 2.8.2.1</w:t>
      </w:r>
      <w:r w:rsidR="00192794" w:rsidRPr="00F4027E">
        <w:rPr>
          <w:b w:val="0"/>
          <w:szCs w:val="28"/>
          <w:lang w:val="ru-RU"/>
        </w:rPr>
        <w:t xml:space="preserve"> </w:t>
      </w:r>
      <w:r w:rsidR="00F4027E" w:rsidRPr="00F4027E">
        <w:rPr>
          <w:b w:val="0"/>
          <w:szCs w:val="28"/>
          <w:lang w:val="ru-RU"/>
        </w:rPr>
        <w:t>изложить в следующей редакции:</w:t>
      </w:r>
      <w:r w:rsidRPr="00F4027E">
        <w:rPr>
          <w:b w:val="0"/>
          <w:szCs w:val="28"/>
        </w:rPr>
        <w:t xml:space="preserve"> </w:t>
      </w:r>
    </w:p>
    <w:p w:rsidR="00F4027E" w:rsidRPr="00F4027E" w:rsidRDefault="00F4027E" w:rsidP="00F4027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4027E">
        <w:rPr>
          <w:sz w:val="28"/>
          <w:szCs w:val="28"/>
        </w:rPr>
        <w:t>«</w:t>
      </w:r>
      <w:r w:rsidRPr="00F4027E">
        <w:rPr>
          <w:sz w:val="28"/>
          <w:szCs w:val="28"/>
        </w:rPr>
        <w:t xml:space="preserve">6.2) ограниченными в обороте в соответствии с пунктом 5 </w:t>
      </w:r>
      <w:hyperlink r:id="rId6" w:history="1">
        <w:r w:rsidRPr="00F4027E">
          <w:rPr>
            <w:rStyle w:val="a4"/>
            <w:color w:val="auto"/>
            <w:sz w:val="28"/>
            <w:szCs w:val="28"/>
            <w:u w:val="none"/>
          </w:rPr>
          <w:t>статьи 27 Земельного кодекса Российской Федерации</w:t>
        </w:r>
      </w:hyperlink>
      <w:r w:rsidRPr="00F4027E">
        <w:rPr>
          <w:sz w:val="28"/>
          <w:szCs w:val="28"/>
        </w:rPr>
        <w:t xml:space="preserve"> являются следующие земельные участки, находящиеся в государственной или муниципальной собственности:</w:t>
      </w:r>
    </w:p>
    <w:p w:rsidR="00F4027E" w:rsidRPr="00F4027E" w:rsidRDefault="00F4027E" w:rsidP="00F4027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4027E">
        <w:rPr>
          <w:sz w:val="28"/>
          <w:szCs w:val="28"/>
        </w:rPr>
        <w:t xml:space="preserve">а) в пределах особо охраняемых природных территорий, не указанные в пункте 4 </w:t>
      </w:r>
      <w:hyperlink r:id="rId7" w:history="1">
        <w:r w:rsidRPr="00F4027E">
          <w:rPr>
            <w:rStyle w:val="a4"/>
            <w:color w:val="auto"/>
            <w:sz w:val="28"/>
            <w:szCs w:val="28"/>
            <w:u w:val="none"/>
          </w:rPr>
          <w:t>статьи 27 Земельного кодекса Российской Федерации</w:t>
        </w:r>
      </w:hyperlink>
      <w:r w:rsidRPr="00F4027E">
        <w:rPr>
          <w:sz w:val="28"/>
          <w:szCs w:val="28"/>
        </w:rPr>
        <w:t xml:space="preserve">, </w:t>
      </w:r>
      <w:r w:rsidRPr="00F4027E">
        <w:rPr>
          <w:sz w:val="28"/>
          <w:szCs w:val="28"/>
        </w:rPr>
        <w:t xml:space="preserve">если иное не предусмотрено </w:t>
      </w:r>
      <w:r w:rsidRPr="00F4027E">
        <w:rPr>
          <w:sz w:val="28"/>
          <w:szCs w:val="28"/>
        </w:rPr>
        <w:t>Земельным кодексом Российской Федерации</w:t>
      </w:r>
      <w:r w:rsidRPr="00F4027E">
        <w:rPr>
          <w:sz w:val="28"/>
          <w:szCs w:val="28"/>
        </w:rPr>
        <w:t xml:space="preserve"> и законодательством Российской Федерации об особо охраняемых природных территориях;</w:t>
      </w:r>
    </w:p>
    <w:p w:rsidR="00F4027E" w:rsidRPr="00F4027E" w:rsidRDefault="00F4027E" w:rsidP="00F4027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4027E">
        <w:rPr>
          <w:sz w:val="28"/>
          <w:szCs w:val="28"/>
        </w:rPr>
        <w:t>б) из состава земель лесного фонда;</w:t>
      </w:r>
    </w:p>
    <w:p w:rsidR="00F4027E" w:rsidRPr="00F4027E" w:rsidRDefault="00F4027E" w:rsidP="00F4027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4027E">
        <w:rPr>
          <w:sz w:val="28"/>
          <w:szCs w:val="28"/>
        </w:rPr>
        <w:t xml:space="preserve">в) в </w:t>
      </w:r>
      <w:proofErr w:type="gramStart"/>
      <w:r w:rsidRPr="00F4027E">
        <w:rPr>
          <w:sz w:val="28"/>
          <w:szCs w:val="28"/>
        </w:rPr>
        <w:t>пределах</w:t>
      </w:r>
      <w:proofErr w:type="gramEnd"/>
      <w:r w:rsidRPr="00F4027E">
        <w:rPr>
          <w:sz w:val="28"/>
          <w:szCs w:val="28"/>
        </w:rPr>
        <w:t xml:space="preserve"> которых расположены водные объекты, находящиеся в государственной или муниципальной собственности;</w:t>
      </w:r>
    </w:p>
    <w:p w:rsidR="00F4027E" w:rsidRPr="00F4027E" w:rsidRDefault="00F4027E" w:rsidP="00F4027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4027E">
        <w:rPr>
          <w:sz w:val="28"/>
          <w:szCs w:val="28"/>
        </w:rPr>
        <w:t>г) занятые особо ценными объектами культурного наследия народов Российской Федерации, объектами, включенными в Список всемирного наследия, историко-культурными заповедниками, объектами археологического наследия, музеями-заповедниками;</w:t>
      </w:r>
    </w:p>
    <w:p w:rsidR="00F4027E" w:rsidRPr="00F4027E" w:rsidRDefault="00F4027E" w:rsidP="00F4027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4027E">
        <w:rPr>
          <w:sz w:val="28"/>
          <w:szCs w:val="28"/>
        </w:rPr>
        <w:t xml:space="preserve">д) предоставленные для обеспечения обороны и безопасности, оборонной промышленности, таможенных нужд и не указанные в пункте 4 </w:t>
      </w:r>
      <w:hyperlink r:id="rId8" w:history="1">
        <w:r w:rsidRPr="00F4027E">
          <w:rPr>
            <w:rStyle w:val="a4"/>
            <w:color w:val="auto"/>
            <w:sz w:val="28"/>
            <w:szCs w:val="28"/>
            <w:u w:val="none"/>
          </w:rPr>
          <w:t>статьи 27 Земельного кодекса Российской Федерации</w:t>
        </w:r>
      </w:hyperlink>
      <w:r w:rsidRPr="00F4027E">
        <w:rPr>
          <w:sz w:val="28"/>
          <w:szCs w:val="28"/>
        </w:rPr>
        <w:t>;</w:t>
      </w:r>
    </w:p>
    <w:p w:rsidR="00F4027E" w:rsidRPr="00F4027E" w:rsidRDefault="00F4027E" w:rsidP="00F4027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4027E">
        <w:rPr>
          <w:sz w:val="28"/>
          <w:szCs w:val="28"/>
        </w:rPr>
        <w:lastRenderedPageBreak/>
        <w:t xml:space="preserve">е) не указанные в пункте 4 </w:t>
      </w:r>
      <w:hyperlink r:id="rId9" w:history="1">
        <w:r w:rsidRPr="00F4027E">
          <w:rPr>
            <w:rStyle w:val="a4"/>
            <w:color w:val="auto"/>
            <w:sz w:val="28"/>
            <w:szCs w:val="28"/>
            <w:u w:val="none"/>
          </w:rPr>
          <w:t>статьи 27 Земельного кодекса Российской Федерации</w:t>
        </w:r>
      </w:hyperlink>
      <w:r w:rsidRPr="00F4027E">
        <w:rPr>
          <w:sz w:val="28"/>
          <w:szCs w:val="28"/>
        </w:rPr>
        <w:t xml:space="preserve"> в границах закрытых административно-территориальных образований;</w:t>
      </w:r>
    </w:p>
    <w:p w:rsidR="00F4027E" w:rsidRPr="00F4027E" w:rsidRDefault="00F4027E" w:rsidP="00F4027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4027E">
        <w:rPr>
          <w:sz w:val="28"/>
          <w:szCs w:val="28"/>
        </w:rPr>
        <w:t>ж) предназначенные для строительства, реконструкции и (или) эксплуатации (далее также - размещение) объектов морского транспорта, внутреннего водного транспорта, воздушного транспорта, сооружений навигационного обеспечения воздушного движения и судоходства, объектов инфраструктуры железнодорожного транспорта общего пользования, а также автомобильных дорог федерального значения, регионального значения, межмуниципального значения или местного значения;</w:t>
      </w:r>
    </w:p>
    <w:p w:rsidR="00F4027E" w:rsidRPr="00F4027E" w:rsidRDefault="00F4027E" w:rsidP="00F4027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F4027E">
        <w:rPr>
          <w:sz w:val="28"/>
          <w:szCs w:val="28"/>
        </w:rPr>
        <w:t>з) занятые объектами космической инфраструктуры;</w:t>
      </w:r>
      <w:proofErr w:type="gramEnd"/>
    </w:p>
    <w:p w:rsidR="00F4027E" w:rsidRPr="00F4027E" w:rsidRDefault="00F4027E" w:rsidP="00F4027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4027E">
        <w:rPr>
          <w:sz w:val="28"/>
          <w:szCs w:val="28"/>
        </w:rPr>
        <w:t xml:space="preserve">и) </w:t>
      </w:r>
      <w:proofErr w:type="gramStart"/>
      <w:r w:rsidRPr="00F4027E">
        <w:rPr>
          <w:sz w:val="28"/>
          <w:szCs w:val="28"/>
        </w:rPr>
        <w:t>расположенные</w:t>
      </w:r>
      <w:proofErr w:type="gramEnd"/>
      <w:r w:rsidRPr="00F4027E">
        <w:rPr>
          <w:sz w:val="28"/>
          <w:szCs w:val="28"/>
        </w:rPr>
        <w:t xml:space="preserve"> под объектами гидротехнических сооружений;</w:t>
      </w:r>
    </w:p>
    <w:p w:rsidR="00F4027E" w:rsidRPr="00F4027E" w:rsidRDefault="00F4027E" w:rsidP="00F4027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F4027E">
        <w:rPr>
          <w:sz w:val="28"/>
          <w:szCs w:val="28"/>
        </w:rPr>
        <w:t>к) предоставленные для производства ядовитых веществ, наркотических средств;</w:t>
      </w:r>
      <w:proofErr w:type="gramEnd"/>
    </w:p>
    <w:p w:rsidR="00F4027E" w:rsidRPr="00F4027E" w:rsidRDefault="00F4027E" w:rsidP="00F4027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4027E">
        <w:rPr>
          <w:sz w:val="28"/>
          <w:szCs w:val="28"/>
        </w:rPr>
        <w:t>л) загрязненные опасными отходами, радиоактивными веществами, подвергшиеся биогенному загрязнению, иные подвергшиеся деградации земли;</w:t>
      </w:r>
    </w:p>
    <w:p w:rsidR="00F4027E" w:rsidRPr="00F4027E" w:rsidRDefault="00F4027E" w:rsidP="00F4027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4027E">
        <w:rPr>
          <w:sz w:val="28"/>
          <w:szCs w:val="28"/>
        </w:rPr>
        <w:t xml:space="preserve">м) </w:t>
      </w:r>
      <w:proofErr w:type="gramStart"/>
      <w:r w:rsidRPr="00F4027E">
        <w:rPr>
          <w:sz w:val="28"/>
          <w:szCs w:val="28"/>
        </w:rPr>
        <w:t>расположенные</w:t>
      </w:r>
      <w:proofErr w:type="gramEnd"/>
      <w:r w:rsidRPr="00F4027E">
        <w:rPr>
          <w:sz w:val="28"/>
          <w:szCs w:val="28"/>
        </w:rPr>
        <w:t xml:space="preserve"> в границах земель, зарезервированных для государственных или муниципальных нужд;</w:t>
      </w:r>
    </w:p>
    <w:p w:rsidR="00F4027E" w:rsidRPr="00F4027E" w:rsidRDefault="00F4027E" w:rsidP="00F4027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4027E">
        <w:rPr>
          <w:sz w:val="28"/>
          <w:szCs w:val="28"/>
        </w:rPr>
        <w:t>н) в первом и втором поясах зон санитарной охраны источников питьевого и хозяйственно-бытового водоснабжения;</w:t>
      </w:r>
    </w:p>
    <w:p w:rsidR="00192794" w:rsidRPr="00F4027E" w:rsidRDefault="00F4027E" w:rsidP="00F4027E">
      <w:pPr>
        <w:pStyle w:val="1"/>
        <w:ind w:right="-2" w:firstLine="480"/>
        <w:rPr>
          <w:b w:val="0"/>
          <w:szCs w:val="28"/>
          <w:shd w:val="clear" w:color="auto" w:fill="F3F1E9"/>
          <w:lang w:val="ru-RU"/>
        </w:rPr>
      </w:pPr>
      <w:r>
        <w:rPr>
          <w:b w:val="0"/>
          <w:lang w:val="ru-RU"/>
        </w:rPr>
        <w:t>о</w:t>
      </w:r>
      <w:r w:rsidRPr="00F4027E">
        <w:rPr>
          <w:b w:val="0"/>
        </w:rPr>
        <w:t>)</w:t>
      </w:r>
      <w:r w:rsidR="00192794" w:rsidRPr="00F4027E">
        <w:rPr>
          <w:b w:val="0"/>
        </w:rPr>
        <w:t xml:space="preserve"> в границах первой зоны округа санитарной (горно-санитарной) охраны природного лечебного ресурса</w:t>
      </w:r>
      <w:proofErr w:type="gramStart"/>
      <w:r w:rsidR="00192794" w:rsidRPr="00F4027E">
        <w:rPr>
          <w:b w:val="0"/>
        </w:rPr>
        <w:t>.</w:t>
      </w:r>
      <w:r w:rsidRPr="00F4027E">
        <w:rPr>
          <w:b w:val="0"/>
        </w:rPr>
        <w:t>».</w:t>
      </w:r>
      <w:r w:rsidRPr="00F4027E">
        <w:rPr>
          <w:b w:val="0"/>
          <w:szCs w:val="28"/>
          <w:shd w:val="clear" w:color="auto" w:fill="F3F1E9"/>
          <w:lang w:val="ru-RU"/>
        </w:rPr>
        <w:t xml:space="preserve"> </w:t>
      </w:r>
      <w:proofErr w:type="gramEnd"/>
    </w:p>
    <w:p w:rsidR="00F4027E" w:rsidRDefault="00F4027E" w:rsidP="00F4027E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eastAsia="zh-CN"/>
        </w:rPr>
      </w:pPr>
      <w:r w:rsidRPr="00F4027E">
        <w:rPr>
          <w:rFonts w:ascii="Times New Roman" w:hAnsi="Times New Roman"/>
          <w:sz w:val="28"/>
          <w:szCs w:val="28"/>
          <w:lang w:eastAsia="zh-CN"/>
        </w:rPr>
        <w:t>2.Настоящее распоряжение вступает в силу с 1 сентября  2024 года.</w:t>
      </w:r>
    </w:p>
    <w:p w:rsidR="00F4027E" w:rsidRDefault="00F4027E" w:rsidP="00F4027E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3.</w:t>
      </w:r>
      <w:proofErr w:type="gramStart"/>
      <w:r>
        <w:rPr>
          <w:rFonts w:ascii="Times New Roman" w:hAnsi="Times New Roman"/>
          <w:sz w:val="28"/>
          <w:szCs w:val="28"/>
          <w:lang w:eastAsia="zh-CN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zh-CN"/>
        </w:rPr>
        <w:t xml:space="preserve"> исполнением настоящего распоряжения оставляю за собой.</w:t>
      </w:r>
    </w:p>
    <w:p w:rsidR="00F4027E" w:rsidRPr="00F4027E" w:rsidRDefault="00F4027E" w:rsidP="00F4027E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eastAsia="zh-CN"/>
        </w:rPr>
      </w:pPr>
      <w:bookmarkStart w:id="0" w:name="_GoBack"/>
      <w:bookmarkEnd w:id="0"/>
    </w:p>
    <w:p w:rsidR="00B57990" w:rsidRPr="00F4027E" w:rsidRDefault="00B57990" w:rsidP="00F4027E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7990" w:rsidRPr="00F4027E" w:rsidRDefault="00B57990" w:rsidP="00F402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4027E">
        <w:rPr>
          <w:rFonts w:ascii="Times New Roman" w:hAnsi="Times New Roman"/>
          <w:b/>
          <w:sz w:val="28"/>
          <w:szCs w:val="28"/>
        </w:rPr>
        <w:t xml:space="preserve">Председатель                                                                 Р.З. </w:t>
      </w:r>
      <w:proofErr w:type="spellStart"/>
      <w:r w:rsidRPr="00F4027E">
        <w:rPr>
          <w:rFonts w:ascii="Times New Roman" w:hAnsi="Times New Roman"/>
          <w:b/>
          <w:sz w:val="28"/>
          <w:szCs w:val="28"/>
        </w:rPr>
        <w:t>Замдиханов</w:t>
      </w:r>
      <w:proofErr w:type="spellEnd"/>
      <w:r w:rsidRPr="00F4027E">
        <w:rPr>
          <w:rFonts w:ascii="Times New Roman" w:hAnsi="Times New Roman"/>
          <w:b/>
          <w:sz w:val="28"/>
          <w:szCs w:val="28"/>
        </w:rPr>
        <w:t xml:space="preserve">       </w:t>
      </w:r>
    </w:p>
    <w:p w:rsidR="00B57990" w:rsidRPr="00F4027E" w:rsidRDefault="00B57990" w:rsidP="00F4027E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</w:p>
    <w:p w:rsidR="00B57990" w:rsidRPr="00F4027E" w:rsidRDefault="00B57990" w:rsidP="00F4027E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</w:p>
    <w:p w:rsidR="00B57990" w:rsidRDefault="00B57990" w:rsidP="00B57990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B57990" w:rsidRDefault="00B57990" w:rsidP="00B57990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B57990" w:rsidRDefault="00B57990" w:rsidP="00B57990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C01572" w:rsidRDefault="00F4027E"/>
    <w:sectPr w:rsidR="00C0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990"/>
    <w:rsid w:val="00192794"/>
    <w:rsid w:val="00691048"/>
    <w:rsid w:val="007E6266"/>
    <w:rsid w:val="00A81FE2"/>
    <w:rsid w:val="00B57990"/>
    <w:rsid w:val="00F4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9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799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B57990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paragraph" w:customStyle="1" w:styleId="ConsPlusTitle">
    <w:name w:val="ConsPlusTitle"/>
    <w:qFormat/>
    <w:rsid w:val="00B579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ertext">
    <w:name w:val="headertext"/>
    <w:basedOn w:val="a"/>
    <w:rsid w:val="00B57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1927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Emphasis"/>
    <w:basedOn w:val="a0"/>
    <w:uiPriority w:val="20"/>
    <w:qFormat/>
    <w:rsid w:val="00192794"/>
    <w:rPr>
      <w:i/>
      <w:iCs/>
    </w:rPr>
  </w:style>
  <w:style w:type="character" w:styleId="a4">
    <w:name w:val="Hyperlink"/>
    <w:basedOn w:val="a0"/>
    <w:uiPriority w:val="99"/>
    <w:semiHidden/>
    <w:unhideWhenUsed/>
    <w:rsid w:val="00F4027E"/>
    <w:rPr>
      <w:color w:val="0000FF"/>
      <w:u w:val="single"/>
    </w:rPr>
  </w:style>
  <w:style w:type="paragraph" w:customStyle="1" w:styleId="s1">
    <w:name w:val="s_1"/>
    <w:basedOn w:val="a"/>
    <w:rsid w:val="00F402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9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799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B57990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paragraph" w:customStyle="1" w:styleId="ConsPlusTitle">
    <w:name w:val="ConsPlusTitle"/>
    <w:qFormat/>
    <w:rsid w:val="00B579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ertext">
    <w:name w:val="headertext"/>
    <w:basedOn w:val="a"/>
    <w:rsid w:val="00B57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1927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Emphasis"/>
    <w:basedOn w:val="a0"/>
    <w:uiPriority w:val="20"/>
    <w:qFormat/>
    <w:rsid w:val="00192794"/>
    <w:rPr>
      <w:i/>
      <w:iCs/>
    </w:rPr>
  </w:style>
  <w:style w:type="character" w:styleId="a4">
    <w:name w:val="Hyperlink"/>
    <w:basedOn w:val="a0"/>
    <w:uiPriority w:val="99"/>
    <w:semiHidden/>
    <w:unhideWhenUsed/>
    <w:rsid w:val="00F4027E"/>
    <w:rPr>
      <w:color w:val="0000FF"/>
      <w:u w:val="single"/>
    </w:rPr>
  </w:style>
  <w:style w:type="paragraph" w:customStyle="1" w:styleId="s1">
    <w:name w:val="s_1"/>
    <w:basedOn w:val="a"/>
    <w:rsid w:val="00F402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744100004&amp;prevdoc=608410334&amp;point=mark=000000000000000000000000000000000000000000000000008PO0M2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744100004&amp;prevdoc=608410334&amp;point=mark=000000000000000000000000000000000000000000000000008PO0M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744100004&amp;prevdoc=608410334&amp;point=mark=000000000000000000000000000000000000000000000000008PO0M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744100004&amp;prevdoc=608410334&amp;point=mark=000000000000000000000000000000000000000000000000008PO0M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dcterms:created xsi:type="dcterms:W3CDTF">2023-09-07T09:55:00Z</dcterms:created>
  <dcterms:modified xsi:type="dcterms:W3CDTF">2023-09-07T09:55:00Z</dcterms:modified>
</cp:coreProperties>
</file>